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14:textFill>
            <w14:solidFill>
              <w14:schemeClr w14:val="tx1"/>
            </w14:solidFill>
          </w14:textFill>
        </w:rPr>
      </w:pPr>
      <w:r>
        <w:rPr>
          <w:rFonts w:hint="eastAsia" w:ascii="仿宋_GB2312" w:eastAsia="仿宋_GB2312"/>
          <w:b/>
          <w:color w:val="000000" w:themeColor="text1"/>
          <w:sz w:val="52"/>
          <w:szCs w:val="52"/>
          <w14:textFill>
            <w14:solidFill>
              <w14:schemeClr w14:val="tx1"/>
            </w14:solidFill>
          </w14:textFill>
        </w:rPr>
        <w:t xml:space="preserve"> </w:t>
      </w:r>
    </w:p>
    <w:p>
      <w:pPr>
        <w:pStyle w:val="13"/>
        <w:spacing w:before="156" w:after="156"/>
        <w:rPr>
          <w:color w:val="000000" w:themeColor="text1"/>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重庆江北国际机场有限公司</w:t>
      </w:r>
    </w:p>
    <w:p>
      <w:pPr>
        <w:jc w:val="center"/>
        <w:rPr>
          <w:rFonts w:ascii="仿宋" w:hAnsi="仿宋" w:eastAsia="仿宋"/>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p>
    <w:p>
      <w:pPr>
        <w:jc w:val="center"/>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综合服务平台系统升级项目比选文件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570" w:firstLineChars="800"/>
        <w:rPr>
          <w:rFonts w:ascii="仿宋" w:hAnsi="仿宋" w:eastAsia="仿宋"/>
          <w:b/>
          <w:color w:val="000000" w:themeColor="text1"/>
          <w:sz w:val="5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r>
        <w:rPr>
          <w:rFonts w:hint="eastAsia" w:ascii="仿宋" w:hAnsi="仿宋" w:eastAsia="仿宋"/>
          <w:b/>
          <w:color w:val="000000" w:themeColor="text1"/>
          <w:sz w:val="32"/>
          <w:lang w:val="en-US" w:eastAsia="zh-CN"/>
          <w14:textFill>
            <w14:solidFill>
              <w14:schemeClr w14:val="tx1"/>
            </w14:solidFill>
          </w14:textFill>
        </w:rPr>
        <w:t>软件2021-001</w:t>
      </w:r>
      <w:r>
        <w:rPr>
          <w:rFonts w:ascii="仿宋" w:hAnsi="仿宋" w:eastAsia="仿宋"/>
          <w:b/>
          <w:color w:val="000000" w:themeColor="text1"/>
          <w:sz w:val="5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jc w:val="center"/>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重庆江北国际机场有限公司</w:t>
      </w:r>
    </w:p>
    <w:p>
      <w:pPr>
        <w:jc w:val="center"/>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市场运营部</w:t>
      </w:r>
      <w:r>
        <w:rPr>
          <w:rFonts w:hint="eastAsia" w:ascii="仿宋_GB2312" w:hAnsi="仿宋" w:eastAsia="仿宋_GB2312"/>
          <w:b/>
          <w:color w:val="000000" w:themeColor="text1"/>
          <w:sz w:val="32"/>
          <w:szCs w:val="32"/>
          <w14:textFill>
            <w14:solidFill>
              <w14:schemeClr w14:val="tx1"/>
            </w14:solidFill>
          </w14:textFill>
        </w:rPr>
        <w:t>(代章)</w:t>
      </w:r>
    </w:p>
    <w:p>
      <w:pPr>
        <w:rPr>
          <w:rFonts w:ascii="仿宋_GB2312" w:hAnsi="仿宋" w:eastAsia="仿宋_GB2312"/>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ind w:firstLine="3052"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二〇二一年七月</w:t>
      </w:r>
    </w:p>
    <w:p>
      <w:pPr>
        <w:ind w:firstLine="3052" w:firstLineChars="950"/>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jc w:val="center"/>
        <w:rPr>
          <w:rFonts w:eastAsia="方正小标宋简体"/>
          <w:color w:val="000000" w:themeColor="text1"/>
          <w:sz w:val="40"/>
          <w:szCs w:val="40"/>
          <w14:textFill>
            <w14:solidFill>
              <w14:schemeClr w14:val="tx1"/>
            </w14:solidFill>
          </w14:textFill>
        </w:rPr>
      </w:pPr>
      <w:r>
        <w:rPr>
          <w:rFonts w:hint="eastAsia" w:eastAsia="方正小标宋简体"/>
          <w:color w:val="000000" w:themeColor="text1"/>
          <w:sz w:val="40"/>
          <w:szCs w:val="40"/>
          <w14:textFill>
            <w14:solidFill>
              <w14:schemeClr w14:val="tx1"/>
            </w14:solidFill>
          </w14:textFill>
        </w:rPr>
        <w:t>综合服务平台系统升级项目比选文件</w:t>
      </w:r>
    </w:p>
    <w:p>
      <w:pPr>
        <w:ind w:firstLine="560"/>
        <w:rPr>
          <w:rFonts w:ascii="仿宋" w:hAnsi="仿宋" w:eastAsia="仿宋"/>
          <w:color w:val="000000" w:themeColor="text1"/>
          <w:sz w:val="28"/>
          <w:szCs w:val="28"/>
          <w14:textFill>
            <w14:solidFill>
              <w14:schemeClr w14:val="tx1"/>
            </w14:solidFill>
          </w14:textFill>
        </w:rPr>
      </w:pPr>
    </w:p>
    <w:p>
      <w:pPr>
        <w:spacing w:after="624" w:afterLines="200"/>
        <w:ind w:firstLine="840" w:firstLineChars="300"/>
        <w:contextualSpacing/>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重庆江北国际机场有限公司（以下简称“公司”）拟对公司综合服务平台系统升级项目邀请符合条件的单位进行比选。</w:t>
      </w:r>
    </w:p>
    <w:p>
      <w:pPr>
        <w:ind w:firstLine="56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一、项目概况</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（一）项目名称</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重庆江北国际机场综合服务平台系统升级项目</w:t>
      </w:r>
      <w:r>
        <w:rPr>
          <w:rFonts w:hint="eastAsia"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（二）项目地点</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重庆江北国际机场。</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（三）项目内容</w:t>
      </w:r>
    </w:p>
    <w:p>
      <w:pPr>
        <w:spacing w:line="360" w:lineRule="auto"/>
        <w:ind w:firstLine="42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1.1升级完善综合服务平台（</w:t>
      </w:r>
      <w:r>
        <w:rPr>
          <w:rFonts w:ascii="仿宋" w:hAnsi="仿宋" w:eastAsia="仿宋" w:cs="仿宋"/>
          <w:color w:val="000000" w:themeColor="text1"/>
          <w:sz w:val="28"/>
          <w:szCs w:val="28"/>
          <w14:textFill>
            <w14:solidFill>
              <w14:schemeClr w14:val="tx1"/>
            </w14:solidFill>
          </w14:textFill>
        </w:rPr>
        <w:t>PC</w:t>
      </w:r>
      <w:r>
        <w:rPr>
          <w:rFonts w:hint="eastAsia" w:ascii="仿宋" w:hAnsi="仿宋" w:eastAsia="仿宋" w:cs="仿宋"/>
          <w:color w:val="000000" w:themeColor="text1"/>
          <w:sz w:val="28"/>
          <w:szCs w:val="28"/>
          <w14:textFill>
            <w14:solidFill>
              <w14:schemeClr w14:val="tx1"/>
            </w14:solidFill>
          </w14:textFill>
        </w:rPr>
        <w:t>端）功能，完成综合服务平台移动端的开发并全面接入“综合服务平台（P</w:t>
      </w:r>
      <w:r>
        <w:rPr>
          <w:rFonts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z w:val="28"/>
          <w:szCs w:val="28"/>
          <w14:textFill>
            <w14:solidFill>
              <w14:schemeClr w14:val="tx1"/>
            </w14:solidFill>
          </w14:textFill>
        </w:rPr>
        <w:t xml:space="preserve">端）”，具体详见下表： </w:t>
      </w:r>
    </w:p>
    <w:tbl>
      <w:tblPr>
        <w:tblStyle w:val="17"/>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3019"/>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Align w:val="center"/>
          </w:tcPr>
          <w:p>
            <w:pPr>
              <w:spacing w:line="360" w:lineRule="auto"/>
              <w:jc w:val="center"/>
              <w:outlineLvl w:val="0"/>
              <w:rPr>
                <w:rFonts w:ascii="方正黑体_GBK" w:hAnsi="仿宋" w:eastAsia="方正黑体_GBK" w:cs="仿宋"/>
                <w:b/>
                <w:color w:val="000000" w:themeColor="text1"/>
                <w:sz w:val="28"/>
                <w:szCs w:val="28"/>
                <w14:textFill>
                  <w14:solidFill>
                    <w14:schemeClr w14:val="tx1"/>
                  </w14:solidFill>
                </w14:textFill>
              </w:rPr>
            </w:pPr>
            <w:r>
              <w:rPr>
                <w:rFonts w:hint="eastAsia" w:ascii="方正黑体_GBK" w:hAnsi="仿宋" w:eastAsia="方正黑体_GBK" w:cs="仿宋"/>
                <w:b/>
                <w:color w:val="000000" w:themeColor="text1"/>
                <w:sz w:val="28"/>
                <w:szCs w:val="28"/>
                <w14:textFill>
                  <w14:solidFill>
                    <w14:schemeClr w14:val="tx1"/>
                  </w14:solidFill>
                </w14:textFill>
              </w:rPr>
              <w:t>功能模块</w:t>
            </w:r>
          </w:p>
        </w:tc>
        <w:tc>
          <w:tcPr>
            <w:tcW w:w="3019" w:type="dxa"/>
            <w:vAlign w:val="center"/>
          </w:tcPr>
          <w:p>
            <w:pPr>
              <w:spacing w:line="360" w:lineRule="auto"/>
              <w:jc w:val="center"/>
              <w:outlineLvl w:val="0"/>
              <w:rPr>
                <w:rFonts w:ascii="方正黑体_GBK" w:hAnsi="仿宋" w:eastAsia="方正黑体_GBK" w:cs="仿宋"/>
                <w:b/>
                <w:color w:val="000000" w:themeColor="text1"/>
                <w:sz w:val="28"/>
                <w:szCs w:val="28"/>
                <w14:textFill>
                  <w14:solidFill>
                    <w14:schemeClr w14:val="tx1"/>
                  </w14:solidFill>
                </w14:textFill>
              </w:rPr>
            </w:pPr>
            <w:r>
              <w:rPr>
                <w:rFonts w:hint="eastAsia" w:ascii="方正黑体_GBK" w:hAnsi="仿宋" w:eastAsia="方正黑体_GBK" w:cs="仿宋"/>
                <w:b/>
                <w:color w:val="000000" w:themeColor="text1"/>
                <w:sz w:val="28"/>
                <w:szCs w:val="28"/>
                <w14:textFill>
                  <w14:solidFill>
                    <w14:schemeClr w14:val="tx1"/>
                  </w14:solidFill>
                </w14:textFill>
              </w:rPr>
              <w:t>子功能</w:t>
            </w:r>
          </w:p>
        </w:tc>
        <w:tc>
          <w:tcPr>
            <w:tcW w:w="3019" w:type="dxa"/>
            <w:vAlign w:val="center"/>
          </w:tcPr>
          <w:p>
            <w:pPr>
              <w:spacing w:line="360" w:lineRule="auto"/>
              <w:jc w:val="center"/>
              <w:outlineLvl w:val="0"/>
              <w:rPr>
                <w:rFonts w:ascii="方正黑体_GBK" w:hAnsi="仿宋" w:eastAsia="方正黑体_GBK" w:cs="仿宋"/>
                <w:b/>
                <w:color w:val="000000" w:themeColor="text1"/>
                <w:sz w:val="28"/>
                <w:szCs w:val="28"/>
                <w14:textFill>
                  <w14:solidFill>
                    <w14:schemeClr w14:val="tx1"/>
                  </w14:solidFill>
                </w14:textFill>
              </w:rPr>
            </w:pPr>
            <w:r>
              <w:rPr>
                <w:rFonts w:hint="eastAsia" w:ascii="方正黑体_GBK" w:hAnsi="仿宋" w:eastAsia="方正黑体_GBK" w:cs="仿宋"/>
                <w:b/>
                <w:color w:val="000000" w:themeColor="text1"/>
                <w:sz w:val="28"/>
                <w:szCs w:val="28"/>
                <w14:textFill>
                  <w14:solidFill>
                    <w14:schemeClr w14:val="tx1"/>
                  </w14:solidFill>
                </w14:textFill>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开发移动APP</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系统框架及原型图、界面的设计</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良好的交互体验，新怡的界面风格，合理的操作逻辑。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restart"/>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新增功能</w:t>
            </w: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完善系统功能</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附件批量导入、附件批量导出、视频上传、优化业务申请及统计功能、附件查看、用户管理等功能模块进行升级。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飞行区业务</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飞行区违章人员考试申请、飞行区驾驶员违章考试申请、飞行区不停航施工人员考试申请、飞行区机坪作业人员培训教员申请、飞行区驾驶员预约年审、飞行区预约实操模拟考试、飞行区机动车辆信息变更申请、飞行区机动车证件补办、飞行区机动车证件更换、飞行区机动车注销申请、飞行区机动车设施设备注销申请、飞行区非机动设施设备补、换领申请、飞行区机坪违章处理业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航站楼业务</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航站楼维护维修申报审批项目、航站楼特急施工申报。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安检站业务</w:t>
            </w:r>
          </w:p>
        </w:tc>
        <w:tc>
          <w:tcPr>
            <w:tcW w:w="3019" w:type="dxa"/>
            <w:vAlign w:val="center"/>
          </w:tcPr>
          <w:p>
            <w:pPr>
              <w:pStyle w:val="2"/>
              <w:spacing w:line="400" w:lineRule="exact"/>
              <w:jc w:val="left"/>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安检站通行证增减区域申请、安检站增加陪同、增加内场资格项目申请。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动力能源业务</w:t>
            </w:r>
          </w:p>
        </w:tc>
        <w:tc>
          <w:tcPr>
            <w:tcW w:w="3019" w:type="dxa"/>
            <w:vAlign w:val="center"/>
          </w:tcPr>
          <w:p>
            <w:pPr>
              <w:tabs>
                <w:tab w:val="left" w:pos="312"/>
              </w:tabs>
              <w:spacing w:line="52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优化用电、给水、中水、排水、用气等申请业务。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restart"/>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移动端用户功能模块</w:t>
            </w: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表单填写</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用户填写需要申请的业务表单，同时系统能够对用户填写的内容进行初步的判断和校验。（电话、身份证等信息）。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附件上传</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用户上传流程需要的相关附件，同时支持删除、在线查看、重传等功能。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业务申请</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涵盖安检站、飞行区、航站楼、动力能源等九大部门的在线业务申请。用户可以通过系统提供的入口进行相应的业务办理。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业务撤销</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如用户发起某业务申请后，若发现之前申请的某业务不再需要，用户可自己撤销先前发起的申请。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消息通知</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实时反馈业务的审核结果，申办部门不再需要电话询问结果。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审核进度</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业务发起人能够看到发起业务的申办进度，实时掌握流程的进度。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意见查看</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能够看到各个审核部门的审核人员提出的审核意见，迅速找到驳回原因，提升业务申办的通过率。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历史记录</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能够查询过往申请的历史记录，同时提供多种条件的检索功能。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驳回中心</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快速定位被驳回的申请，通过审核人员提供的意见，及时的做出修正。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restart"/>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移动端审核功能模块</w:t>
            </w: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表单查看</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在线查看用户填写的表单，表单支持适配不同分辨率的手机终端。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附件查看</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在线产看用户提交的附件。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业务审核</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根据用户填写的表单内容和附件做出相应的审核。审核的结果将直接通知到申请用户。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意见查看</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能够看到前面审核人填写的意见。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历史记录</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查询自己之前审核的历史记录。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4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消息通知</w:t>
            </w:r>
          </w:p>
        </w:tc>
        <w:tc>
          <w:tcPr>
            <w:tcW w:w="3019" w:type="dxa"/>
            <w:vAlign w:val="center"/>
          </w:tcPr>
          <w:p>
            <w:pPr>
              <w:spacing w:line="4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当有新的审核任务的时候，系统能够及时的给予提示。</w:t>
            </w:r>
          </w:p>
        </w:tc>
      </w:tr>
    </w:tbl>
    <w:p>
      <w:pPr>
        <w:spacing w:line="360" w:lineRule="auto"/>
        <w:jc w:val="left"/>
        <w:outlineLvl w:val="0"/>
        <w:rPr>
          <w:rFonts w:ascii="仿宋" w:hAnsi="仿宋" w:eastAsia="仿宋" w:cs="仿宋"/>
          <w:color w:val="000000" w:themeColor="text1"/>
          <w:sz w:val="28"/>
          <w:szCs w:val="28"/>
          <w14:textFill>
            <w14:solidFill>
              <w14:schemeClr w14:val="tx1"/>
            </w14:solidFill>
          </w14:textFill>
        </w:rPr>
      </w:pPr>
    </w:p>
    <w:p>
      <w:pPr>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1.2</w:t>
      </w:r>
      <w:r>
        <w:rPr>
          <w:rFonts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依托综合服务平台建立考试系统模块，该模块至少具有如下功能：</w:t>
      </w:r>
    </w:p>
    <w:tbl>
      <w:tblPr>
        <w:tblStyle w:val="1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pStyle w:val="2"/>
              <w:spacing w:line="40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模块名称</w:t>
            </w:r>
          </w:p>
        </w:tc>
        <w:tc>
          <w:tcPr>
            <w:tcW w:w="6509" w:type="dxa"/>
          </w:tcPr>
          <w:p>
            <w:pPr>
              <w:pStyle w:val="2"/>
              <w:spacing w:line="40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功能简介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前端效果实现</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良好的</w:t>
            </w:r>
            <w:r>
              <w:rPr>
                <w:rFonts w:ascii="仿宋" w:hAnsi="仿宋" w:eastAsia="仿宋" w:cs="仿宋"/>
                <w:color w:val="000000" w:themeColor="text1"/>
                <w:sz w:val="28"/>
                <w:szCs w:val="28"/>
                <w14:textFill>
                  <w14:solidFill>
                    <w14:schemeClr w14:val="tx1"/>
                  </w14:solidFill>
                </w14:textFill>
              </w:rPr>
              <w:t>UI</w:t>
            </w:r>
            <w:r>
              <w:rPr>
                <w:rFonts w:hint="eastAsia" w:ascii="仿宋" w:hAnsi="仿宋" w:eastAsia="仿宋" w:cs="仿宋"/>
                <w:color w:val="000000" w:themeColor="text1"/>
                <w:sz w:val="28"/>
                <w:szCs w:val="28"/>
                <w14:textFill>
                  <w14:solidFill>
                    <w14:schemeClr w14:val="tx1"/>
                  </w14:solidFill>
                </w14:textFill>
              </w:rPr>
              <w:t>设计，界面简洁、美观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考生信息管理</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结合综合服务平台，采用接口调用的方式录入考试用户信息，同时也提供手动录入和</w:t>
            </w:r>
            <w:r>
              <w:rPr>
                <w:rFonts w:ascii="仿宋" w:hAnsi="仿宋" w:eastAsia="仿宋" w:cs="仿宋"/>
                <w:color w:val="000000" w:themeColor="text1"/>
                <w:sz w:val="28"/>
                <w:szCs w:val="28"/>
                <w14:textFill>
                  <w14:solidFill>
                    <w14:schemeClr w14:val="tx1"/>
                  </w14:solidFill>
                </w14:textFill>
              </w:rPr>
              <w:t>excel</w:t>
            </w:r>
            <w:r>
              <w:rPr>
                <w:rFonts w:hint="eastAsia" w:ascii="仿宋" w:hAnsi="仿宋" w:eastAsia="仿宋" w:cs="仿宋"/>
                <w:color w:val="000000" w:themeColor="text1"/>
                <w:sz w:val="28"/>
                <w:szCs w:val="28"/>
                <w14:textFill>
                  <w14:solidFill>
                    <w14:schemeClr w14:val="tx1"/>
                  </w14:solidFill>
                </w14:textFill>
              </w:rPr>
              <w:t>录入的方式，以满足其他场景的需求。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考前练习</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用户可通过平台提供的移动端进行考前的试题训练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试题入库</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可采用手动录入、</w:t>
            </w:r>
            <w:r>
              <w:rPr>
                <w:rFonts w:ascii="仿宋" w:hAnsi="仿宋" w:eastAsia="仿宋" w:cs="仿宋"/>
                <w:color w:val="000000" w:themeColor="text1"/>
                <w:sz w:val="28"/>
                <w:szCs w:val="28"/>
                <w14:textFill>
                  <w14:solidFill>
                    <w14:schemeClr w14:val="tx1"/>
                  </w14:solidFill>
                </w14:textFill>
              </w:rPr>
              <w:t>excel</w:t>
            </w:r>
            <w:r>
              <w:rPr>
                <w:rFonts w:hint="eastAsia" w:ascii="仿宋" w:hAnsi="仿宋" w:eastAsia="仿宋" w:cs="仿宋"/>
                <w:color w:val="000000" w:themeColor="text1"/>
                <w:sz w:val="28"/>
                <w:szCs w:val="28"/>
                <w14:textFill>
                  <w14:solidFill>
                    <w14:schemeClr w14:val="tx1"/>
                  </w14:solidFill>
                </w14:textFill>
              </w:rPr>
              <w:t>导入、原数据库录入等多种方式录入题库。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试题管理</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提供关键词检索功能，方便对录入系统的试题进行查询、修改、删除等操作，确保试题库数据的有效性。同时也方便用户了解各个试题类型的数量和比重。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试题分类</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给录入的试题贴上相关的标签，便于系统根据标签智能化生成考试试卷。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试卷预览</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管理员动态设置各部门考试比例、难度，系统将根据试题相关的标签，生成对应的试卷。生成的试卷管理员可在线预览。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试卷生成</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根据管理员设置的相关出题比例及考试难度，系统自动的生成试卷。多种排列组合，避免漏题，泄题。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试题修改</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系统生成考试试卷后，若管理员想对试卷进行部分的修改，则可以手动的删除、修改、重新匹配。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试题匹配</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考生登录系统后，会根据申请的考试区域、考生的年龄、考生的学历等条件，匹配相应的考试试卷、考试难度。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智能判分</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用户在线答题后，自动进行成绩计算，同时将数据保存和传送至其他第三方系统。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成绩统计与导出</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统计各部门的考试情况，并支持多维度数据的筛选，导出相应的数据为</w:t>
            </w:r>
            <w:r>
              <w:rPr>
                <w:rFonts w:ascii="仿宋" w:hAnsi="仿宋" w:eastAsia="仿宋" w:cs="仿宋"/>
                <w:color w:val="000000" w:themeColor="text1"/>
                <w:sz w:val="28"/>
                <w:szCs w:val="28"/>
                <w14:textFill>
                  <w14:solidFill>
                    <w14:schemeClr w14:val="tx1"/>
                  </w14:solidFill>
                </w14:textFill>
              </w:rPr>
              <w:t>excel</w:t>
            </w: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考试成绩通知</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用户考试结束后，系统将调用综合服务平台的消息通知系统，将考试的结果通知到部门负责人，方便各报考部门及时了解内部员工的考试结果。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风险控制功能</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当监考人发现用户考试作弊等情况，可以通过后台管理系统修改或取消该用户本次考试成绩。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第三方系统无缝融合</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连接综合服务平台，完成考试预约、考试、办证等整条业务线的流程，提升用户的办证效率，减轻办证业务员的工作量。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用户登录</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搭建以综合服务平台为中心的系统，管理员不再需要记录单独的账号，实现平台的统一登录。而考试用户可联合综合服务平台，用户只需要身份证号即可登录，登录后选择相关的考试，即可开始考试，减轻对用户信息维护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权限管理</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搭建以综合服务平台为中心的系统，进行权限的分配。各部门只能管理自己部门的考试数据，确保数据的安全性。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角色管理</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实现对系统的角色管理，不同的角色拥有不同的权限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部门管理</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实现相关部门管理，避免维护多个系统的部门架构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移动端小程序界面设计</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良好的U</w:t>
            </w:r>
            <w:r>
              <w:rPr>
                <w:rFonts w:ascii="仿宋" w:hAnsi="仿宋" w:eastAsia="仿宋" w:cs="仿宋"/>
                <w:color w:val="000000" w:themeColor="text1"/>
                <w:sz w:val="28"/>
                <w:szCs w:val="28"/>
                <w14:textFill>
                  <w14:solidFill>
                    <w14:schemeClr w14:val="tx1"/>
                  </w14:solidFill>
                </w14:textFill>
              </w:rPr>
              <w:t>I</w:t>
            </w:r>
            <w:r>
              <w:rPr>
                <w:rFonts w:hint="eastAsia" w:ascii="仿宋" w:hAnsi="仿宋" w:eastAsia="仿宋" w:cs="仿宋"/>
                <w:color w:val="000000" w:themeColor="text1"/>
                <w:sz w:val="28"/>
                <w:szCs w:val="28"/>
                <w14:textFill>
                  <w14:solidFill>
                    <w14:schemeClr w14:val="tx1"/>
                  </w14:solidFill>
                </w14:textFill>
              </w:rPr>
              <w:t>设计，界面简洁、美观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移动端答题小程序</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管理员可在后台临时创建非证件考试的考试题库，创建后系统将自动生成二维码，用户扫码后即可进行相关的考试，并记录用户的考试成绩。例如：党建问答、素质考核等相关考试内容。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4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移动端答题小程序</w:t>
            </w:r>
          </w:p>
        </w:tc>
        <w:tc>
          <w:tcPr>
            <w:tcW w:w="6509" w:type="dxa"/>
          </w:tcPr>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移动端答题成绩查询。考过试的用户再次扫二维码，即可查看之前该项考试成绩。</w:t>
            </w:r>
          </w:p>
        </w:tc>
      </w:tr>
    </w:tbl>
    <w:p>
      <w:pPr>
        <w:pStyle w:val="2"/>
        <w:ind w:firstLine="810"/>
        <w:jc w:val="left"/>
        <w:rPr>
          <w:rFonts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1.3</w:t>
      </w:r>
      <w:r>
        <w:rPr>
          <w:rFonts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升级公安系统员工比对信息查看功能，实现人员信息录入错误原因提示，并提供系统所需服务器硬件及正版操作系统</w:t>
      </w:r>
    </w:p>
    <w:p>
      <w:pPr>
        <w:ind w:firstLine="81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1.4</w:t>
      </w:r>
      <w:r>
        <w:rPr>
          <w:rFonts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接入航站楼准入积分管理系统，实现数据信息互通。</w:t>
      </w:r>
    </w:p>
    <w:p>
      <w:pPr>
        <w:pStyle w:val="2"/>
        <w:ind w:firstLine="840" w:firstLineChars="300"/>
        <w:jc w:val="left"/>
        <w:rPr>
          <w:rFonts w:ascii="仿宋" w:hAnsi="仿宋" w:eastAsia="仿宋" w:cs="仿宋"/>
          <w:b w:val="0"/>
          <w:bCs/>
          <w:color w:val="000000" w:themeColor="text1"/>
          <w:sz w:val="28"/>
          <w:szCs w:val="28"/>
          <w14:textFill>
            <w14:solidFill>
              <w14:schemeClr w14:val="tx1"/>
            </w14:solidFill>
          </w14:textFill>
        </w:rPr>
      </w:pPr>
      <w:r>
        <w:rPr>
          <w:rFonts w:ascii="仿宋" w:hAnsi="仿宋" w:eastAsia="仿宋" w:cs="仿宋"/>
          <w:b w:val="0"/>
          <w:bCs/>
          <w:color w:val="000000" w:themeColor="text1"/>
          <w:sz w:val="28"/>
          <w:szCs w:val="28"/>
          <w14:textFill>
            <w14:solidFill>
              <w14:schemeClr w14:val="tx1"/>
            </w14:solidFill>
          </w14:textFill>
        </w:rPr>
        <w:t xml:space="preserve">1.5 </w:t>
      </w:r>
      <w:r>
        <w:rPr>
          <w:rFonts w:hint="eastAsia" w:ascii="仿宋" w:hAnsi="仿宋" w:eastAsia="仿宋" w:cs="仿宋"/>
          <w:b w:val="0"/>
          <w:bCs/>
          <w:color w:val="000000" w:themeColor="text1"/>
          <w:sz w:val="28"/>
          <w:szCs w:val="28"/>
          <w14:textFill>
            <w14:solidFill>
              <w14:schemeClr w14:val="tx1"/>
            </w14:solidFill>
          </w14:textFill>
        </w:rPr>
        <w:t>提供相关系统源代码。</w:t>
      </w:r>
    </w:p>
    <w:p>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二、资格要求</w:t>
      </w:r>
    </w:p>
    <w:p>
      <w:pPr>
        <w:ind w:firstLine="560" w:firstLineChars="200"/>
        <w:rPr>
          <w:rFonts w:ascii="仿宋" w:hAnsi="仿宋" w:eastAsia="仿宋"/>
          <w:color w:val="000000" w:themeColor="text1"/>
          <w:sz w:val="28"/>
          <w:szCs w:val="28"/>
          <w14:textFill>
            <w14:solidFill>
              <w14:schemeClr w14:val="tx1"/>
            </w14:solidFill>
          </w14:textFill>
        </w:rPr>
      </w:pPr>
      <w:bookmarkStart w:id="0" w:name="_Hlk78186631"/>
      <w:r>
        <w:rPr>
          <w:rFonts w:hint="eastAsia" w:ascii="仿宋" w:hAnsi="仿宋" w:eastAsia="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在中华人民共和国依法注册、具有独立法人资格，具有有效营业执照，经营范围涉及软件开发（注明须提供营业执照复印件加盖鲜章）。</w:t>
      </w:r>
    </w:p>
    <w:bookmarkEnd w:id="0"/>
    <w:p>
      <w:pPr>
        <w:ind w:firstLine="560" w:firstLineChars="200"/>
        <w:rPr>
          <w:rFonts w:ascii="仿宋" w:hAnsi="仿宋" w:eastAsia="仿宋" w:cs="仿宋"/>
          <w:color w:val="000000" w:themeColor="text1"/>
          <w:sz w:val="28"/>
          <w:szCs w:val="28"/>
          <w14:textFill>
            <w14:solidFill>
              <w14:schemeClr w14:val="tx1"/>
            </w14:solidFill>
          </w14:textFill>
        </w:rPr>
      </w:pPr>
      <w:bookmarkStart w:id="1" w:name="_Hlk78186620"/>
      <w:r>
        <w:rPr>
          <w:rFonts w:hint="eastAsia" w:ascii="仿宋" w:hAnsi="仿宋" w:eastAsia="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业绩要求：2020年1月1日以来，比选响应人应至少完成过一个单个合同金额30万以上的软件开发项目（提供相关合同及对应发票，复印件并盖投标人鲜章，原合同备查，以合同签订时间为准）。</w:t>
      </w:r>
      <w:bookmarkEnd w:id="1"/>
    </w:p>
    <w:p>
      <w:pPr>
        <w:ind w:firstLine="560" w:firstLineChars="200"/>
        <w:rPr>
          <w:rFonts w:ascii="仿宋" w:hAnsi="仿宋" w:eastAsia="仿宋"/>
          <w:color w:val="000000" w:themeColor="text1"/>
          <w:sz w:val="28"/>
          <w:szCs w:val="28"/>
          <w14:textFill>
            <w14:solidFill>
              <w14:schemeClr w14:val="tx1"/>
            </w14:solidFill>
          </w14:textFill>
        </w:rPr>
      </w:pPr>
      <w:bookmarkStart w:id="2" w:name="_Hlk78186642"/>
      <w:r>
        <w:rPr>
          <w:rFonts w:hint="eastAsia" w:ascii="仿宋" w:hAnsi="仿宋" w:eastAsia="仿宋"/>
          <w:color w:val="000000" w:themeColor="text1"/>
          <w:sz w:val="28"/>
          <w:szCs w:val="28"/>
          <w:lang w:val="en-US" w:eastAsia="zh-CN"/>
          <w14:textFill>
            <w14:solidFill>
              <w14:schemeClr w14:val="tx1"/>
            </w14:solidFill>
          </w14:textFill>
        </w:rPr>
        <w:t>2.3</w:t>
      </w:r>
      <w:r>
        <w:rPr>
          <w:rFonts w:hint="eastAsia" w:ascii="仿宋" w:hAnsi="仿宋" w:eastAsia="仿宋"/>
          <w:color w:val="000000" w:themeColor="text1"/>
          <w:sz w:val="28"/>
          <w:szCs w:val="28"/>
          <w14:textFill>
            <w14:solidFill>
              <w14:schemeClr w14:val="tx1"/>
            </w14:solidFill>
          </w14:textFill>
        </w:rPr>
        <w:t>本项目不接受联合体投标，不得转包、分包。</w:t>
      </w:r>
    </w:p>
    <w:bookmarkEnd w:id="2"/>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t xml:space="preserve"> </w:t>
      </w:r>
      <w:bookmarkStart w:id="3" w:name="_Hlk78186652"/>
      <w:r>
        <w:rPr>
          <w:rFonts w:hint="eastAsia" w:ascii="仿宋" w:hAnsi="仿宋" w:eastAsia="仿宋" w:cs="仿宋"/>
          <w:color w:val="000000" w:themeColor="text1"/>
          <w:sz w:val="28"/>
          <w:szCs w:val="28"/>
          <w14:textFill>
            <w14:solidFill>
              <w14:schemeClr w14:val="tx1"/>
            </w14:solidFill>
          </w14:textFill>
        </w:rPr>
        <w:t>未被“信用中国”网站（www.creditchina.gov.cn）列为失信被执行人，提供相关查询截图并加盖响应单位法人鲜章。</w:t>
      </w:r>
      <w:bookmarkEnd w:id="3"/>
    </w:p>
    <w:p>
      <w:pPr>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三、项目要求及报价要求</w:t>
      </w:r>
    </w:p>
    <w:p>
      <w:pPr>
        <w:pStyle w:val="5"/>
        <w:rPr>
          <w:rFonts w:ascii="仿宋" w:hAnsi="仿宋" w:eastAsia="仿宋"/>
          <w:b w:val="0"/>
        </w:rPr>
      </w:pPr>
      <w:r>
        <w:rPr>
          <w:rFonts w:hint="eastAsia" w:ascii="仿宋" w:hAnsi="仿宋" w:eastAsia="仿宋"/>
          <w:b w:val="0"/>
          <w:bCs w:val="0"/>
          <w:lang w:val="en-US"/>
        </w:rPr>
        <w:t xml:space="preserve">    </w:t>
      </w:r>
      <w:r>
        <w:rPr>
          <w:rFonts w:hint="eastAsia" w:ascii="仿宋" w:hAnsi="仿宋" w:eastAsia="仿宋"/>
          <w:b w:val="0"/>
          <w:bCs w:val="0"/>
          <w:lang w:val="en-US" w:eastAsia="zh-CN"/>
        </w:rPr>
        <w:t>3.1</w:t>
      </w:r>
      <w:r>
        <w:rPr>
          <w:rFonts w:hint="eastAsia" w:ascii="仿宋" w:hAnsi="仿宋" w:eastAsia="仿宋" w:cs="仿宋"/>
          <w:b w:val="0"/>
          <w:bCs w:val="0"/>
          <w:kern w:val="2"/>
          <w:lang w:val="en-US"/>
        </w:rPr>
        <w:t>项目要求：按项目实施内容要求。</w:t>
      </w:r>
    </w:p>
    <w:p>
      <w:pPr>
        <w:pStyle w:val="5"/>
        <w:ind w:firstLine="560" w:firstLineChars="200"/>
        <w:rPr>
          <w:rFonts w:ascii="仿宋" w:hAnsi="仿宋" w:eastAsia="仿宋"/>
          <w:b w:val="0"/>
          <w:bCs w:val="0"/>
          <w:kern w:val="2"/>
          <w:lang w:val="en-US"/>
        </w:rPr>
      </w:pPr>
      <w:r>
        <w:rPr>
          <w:rFonts w:hint="eastAsia" w:ascii="仿宋" w:hAnsi="仿宋" w:eastAsia="仿宋"/>
          <w:b w:val="0"/>
          <w:bCs w:val="0"/>
          <w:kern w:val="2"/>
          <w:lang w:val="en-US" w:eastAsia="zh-CN"/>
        </w:rPr>
        <w:t>3.2</w:t>
      </w:r>
      <w:r>
        <w:rPr>
          <w:rFonts w:hint="eastAsia" w:ascii="仿宋" w:hAnsi="仿宋" w:eastAsia="仿宋"/>
          <w:b w:val="0"/>
          <w:bCs w:val="0"/>
          <w:kern w:val="2"/>
          <w:lang w:val="en-US"/>
        </w:rPr>
        <w:t>报价要求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3.2.1</w:t>
      </w:r>
      <w:r>
        <w:rPr>
          <w:rFonts w:hint="eastAsia" w:ascii="仿宋" w:hAnsi="仿宋" w:eastAsia="仿宋"/>
          <w:color w:val="000000" w:themeColor="text1"/>
          <w:sz w:val="28"/>
          <w:szCs w:val="28"/>
          <w14:textFill>
            <w14:solidFill>
              <w14:schemeClr w14:val="tx1"/>
            </w14:solidFill>
          </w14:textFill>
        </w:rPr>
        <w:t>本项目的报价为</w:t>
      </w:r>
      <w:r>
        <w:rPr>
          <w:rFonts w:hint="eastAsia" w:ascii="仿宋" w:hAnsi="仿宋" w:eastAsia="仿宋"/>
          <w:b/>
          <w:bCs/>
          <w:color w:val="000000" w:themeColor="text1"/>
          <w:sz w:val="28"/>
          <w:szCs w:val="28"/>
          <w:lang w:val="en-US" w:eastAsia="zh-CN"/>
          <w14:textFill>
            <w14:solidFill>
              <w14:schemeClr w14:val="tx1"/>
            </w14:solidFill>
          </w14:textFill>
        </w:rPr>
        <w:t>不含税</w:t>
      </w:r>
      <w:r>
        <w:rPr>
          <w:rFonts w:hint="eastAsia" w:ascii="仿宋" w:hAnsi="仿宋" w:eastAsia="仿宋"/>
          <w:color w:val="000000" w:themeColor="text1"/>
          <w:sz w:val="28"/>
          <w:szCs w:val="28"/>
          <w14:textFill>
            <w14:solidFill>
              <w14:schemeClr w14:val="tx1"/>
            </w14:solidFill>
          </w14:textFill>
        </w:rPr>
        <w:t>包干价，包括完成本项目所需的</w:t>
      </w:r>
      <w:r>
        <w:rPr>
          <w:rFonts w:hint="eastAsia" w:ascii="仿宋" w:hAnsi="仿宋" w:eastAsia="仿宋" w:cs="仿宋"/>
          <w:color w:val="000000" w:themeColor="text1"/>
          <w:sz w:val="28"/>
          <w:szCs w:val="28"/>
          <w14:textFill>
            <w14:solidFill>
              <w14:schemeClr w14:val="tx1"/>
            </w14:solidFill>
          </w14:textFill>
        </w:rPr>
        <w:t>软件开发费、人工费、交通费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调研费、设备费、培训费等所有费用。本项目</w:t>
      </w:r>
      <w:r>
        <w:rPr>
          <w:rFonts w:hint="eastAsia" w:ascii="仿宋" w:hAnsi="仿宋" w:eastAsia="仿宋"/>
          <w:b/>
          <w:color w:val="000000" w:themeColor="text1"/>
          <w:sz w:val="28"/>
          <w:szCs w:val="28"/>
          <w14:textFill>
            <w14:solidFill>
              <w14:schemeClr w14:val="tx1"/>
            </w14:solidFill>
          </w14:textFill>
        </w:rPr>
        <w:t>费用最高限价（不含税）</w:t>
      </w:r>
      <w:r>
        <w:rPr>
          <w:rFonts w:hint="eastAsia" w:ascii="仿宋" w:hAnsi="仿宋" w:eastAsia="仿宋"/>
          <w:color w:val="000000" w:themeColor="text1"/>
          <w:sz w:val="28"/>
          <w:szCs w:val="28"/>
          <w14:textFill>
            <w14:solidFill>
              <w14:schemeClr w14:val="tx1"/>
            </w14:solidFill>
          </w14:textFill>
        </w:rPr>
        <w:t>为人民币</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2万元（大写：叁拾贰万元整），报价超过最高限价，将取消此比选响应方的比选资质。响应方严格按照报价函进行报价。</w:t>
      </w:r>
    </w:p>
    <w:p>
      <w:pPr>
        <w:pStyle w:val="5"/>
        <w:ind w:firstLine="560" w:firstLineChars="200"/>
        <w:rPr>
          <w:rFonts w:ascii="仿宋" w:hAnsi="仿宋" w:eastAsia="仿宋"/>
          <w:b w:val="0"/>
          <w:bCs w:val="0"/>
          <w:kern w:val="2"/>
          <w:lang w:val="en-US"/>
        </w:rPr>
      </w:pPr>
      <w:r>
        <w:rPr>
          <w:rFonts w:hint="eastAsia" w:ascii="仿宋" w:hAnsi="仿宋" w:eastAsia="仿宋"/>
          <w:b w:val="0"/>
          <w:bCs w:val="0"/>
          <w:kern w:val="2"/>
          <w:lang w:val="en-US" w:eastAsia="zh-CN"/>
        </w:rPr>
        <w:t>3.2.2</w:t>
      </w:r>
      <w:r>
        <w:rPr>
          <w:rFonts w:hint="eastAsia" w:ascii="仿宋" w:hAnsi="仿宋" w:eastAsia="仿宋"/>
          <w:b w:val="0"/>
          <w:bCs w:val="0"/>
          <w:kern w:val="2"/>
          <w:lang w:val="en-US"/>
        </w:rPr>
        <w:t>在修正范围内的以下情形不作为比选响应文件作废的依据：</w:t>
      </w:r>
    </w:p>
    <w:p>
      <w:pPr>
        <w:pStyle w:val="5"/>
        <w:ind w:firstLine="560" w:firstLineChars="200"/>
        <w:rPr>
          <w:rFonts w:ascii="仿宋" w:hAnsi="仿宋" w:eastAsia="仿宋"/>
          <w:b w:val="0"/>
          <w:bCs w:val="0"/>
          <w:kern w:val="2"/>
          <w:lang w:val="en-US"/>
        </w:rPr>
      </w:pPr>
      <w:r>
        <w:rPr>
          <w:rFonts w:hint="eastAsia" w:ascii="仿宋" w:hAnsi="仿宋" w:eastAsia="仿宋"/>
          <w:b w:val="0"/>
          <w:bCs w:val="0"/>
          <w:kern w:val="2"/>
          <w:lang w:val="en-US"/>
        </w:rPr>
        <w:t>（1）比选响应文件中的大写金额与小写金额不一致的，以大写金额为准；</w:t>
      </w:r>
    </w:p>
    <w:p>
      <w:pPr>
        <w:pStyle w:val="5"/>
        <w:ind w:firstLine="560" w:firstLineChars="200"/>
        <w:rPr>
          <w:rFonts w:ascii="仿宋" w:hAnsi="仿宋" w:eastAsia="仿宋"/>
          <w:b w:val="0"/>
          <w:bCs w:val="0"/>
          <w:kern w:val="2"/>
          <w:lang w:val="en-US"/>
        </w:rPr>
      </w:pPr>
      <w:r>
        <w:rPr>
          <w:rFonts w:hint="eastAsia" w:ascii="仿宋" w:hAnsi="仿宋" w:eastAsia="仿宋"/>
          <w:b w:val="0"/>
          <w:bCs w:val="0"/>
          <w:kern w:val="2"/>
          <w:lang w:val="en-US"/>
        </w:rPr>
        <w:t>（2）数字表示的数额与用文字表示的数额不一致时，以文字数额为准；</w:t>
      </w:r>
    </w:p>
    <w:p>
      <w:pPr>
        <w:pStyle w:val="5"/>
        <w:ind w:firstLine="560" w:firstLineChars="200"/>
        <w:rPr>
          <w:rFonts w:ascii="仿宋" w:hAnsi="仿宋" w:eastAsia="仿宋"/>
          <w:b w:val="0"/>
          <w:bCs w:val="0"/>
          <w:kern w:val="2"/>
          <w:lang w:val="en-US"/>
        </w:rPr>
      </w:pPr>
      <w:r>
        <w:rPr>
          <w:rFonts w:hint="eastAsia" w:ascii="仿宋" w:hAnsi="仿宋" w:eastAsia="仿宋"/>
          <w:b w:val="0"/>
          <w:bCs w:val="0"/>
          <w:kern w:val="2"/>
          <w:lang w:val="en-US"/>
        </w:rPr>
        <w:t>（3）总价金额与依据单价计算出的结果不一致的，以单价金额为准修正总价，但单价金额小数点有明显错误的除外。</w:t>
      </w:r>
    </w:p>
    <w:p>
      <w:pPr>
        <w:widowControl/>
        <w:ind w:firstLine="56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w:t>
      </w:r>
      <w:r>
        <w:rPr>
          <w:rFonts w:hint="eastAsia" w:ascii="仿宋" w:hAnsi="仿宋" w:eastAsia="仿宋"/>
          <w:b/>
          <w:bCs/>
          <w:color w:val="000000" w:themeColor="text1"/>
          <w:sz w:val="28"/>
          <w:szCs w:val="28"/>
          <w14:textFill>
            <w14:solidFill>
              <w14:schemeClr w14:val="tx1"/>
            </w14:solidFill>
          </w14:textFill>
        </w:rPr>
        <w:t>成交标准</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本次比选成交人确定办法采用经评审满足条件的综合得分最高成交。</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4.1</w:t>
      </w:r>
      <w:r>
        <w:rPr>
          <w:rFonts w:hint="eastAsia" w:ascii="仿宋" w:hAnsi="仿宋" w:eastAsia="仿宋"/>
          <w:color w:val="000000" w:themeColor="text1"/>
          <w:sz w:val="28"/>
          <w:szCs w:val="28"/>
          <w14:textFill>
            <w14:solidFill>
              <w14:schemeClr w14:val="tx1"/>
            </w14:solidFill>
          </w14:textFill>
        </w:rPr>
        <w:t>比选规则</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4.1.</w:t>
      </w:r>
      <w:r>
        <w:rPr>
          <w:rFonts w:hint="eastAsia" w:ascii="仿宋" w:hAnsi="仿宋" w:eastAsia="仿宋" w:cs="仿宋"/>
          <w:color w:val="000000" w:themeColor="text1"/>
          <w:sz w:val="28"/>
          <w:szCs w:val="28"/>
          <w14:textFill>
            <w14:solidFill>
              <w14:schemeClr w14:val="tx1"/>
            </w14:solidFill>
          </w14:textFill>
        </w:rPr>
        <w:t>1 递交竞争性比选响应文件截止时，送达的竞争性比选响应文件在2家及以上的，可以正常进行竞争性比选活动；只有1家的，可以按单一来源采购方式确定结果；无送达的竞争性比选响应文件时，将重新组织竞争性比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4.1.</w:t>
      </w:r>
      <w:r>
        <w:rPr>
          <w:rFonts w:hint="eastAsia" w:ascii="仿宋" w:hAnsi="仿宋" w:eastAsia="仿宋" w:cs="仿宋"/>
          <w:color w:val="000000" w:themeColor="text1"/>
          <w:sz w:val="28"/>
          <w:szCs w:val="28"/>
          <w14:textFill>
            <w14:solidFill>
              <w14:schemeClr w14:val="tx1"/>
            </w14:solidFill>
          </w14:textFill>
        </w:rPr>
        <w:t>2 若排名第一的成交候选人放弃成交、未能在比选文件规定期限内交纳履约保证金或者因不可抗力提出不能履行合同的，经市场运营部负责人及项目单位负责人审批后可以确定排名第二的成交候选人为成交人。排名第二的成交候选人因前款规定的同样原因不能签订合同的，经市场运营部负责人及项目单位负责人审批后，重新确定采购方式。</w:t>
      </w:r>
    </w:p>
    <w:p>
      <w:pPr>
        <w:pStyle w:val="2"/>
        <w:ind w:firstLine="560" w:firstLineChars="200"/>
        <w:jc w:val="left"/>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lang w:val="en-US" w:eastAsia="zh-CN"/>
          <w14:textFill>
            <w14:solidFill>
              <w14:schemeClr w14:val="tx1"/>
            </w14:solidFill>
          </w14:textFill>
        </w:rPr>
        <w:t>4.2</w:t>
      </w:r>
      <w:r>
        <w:rPr>
          <w:rFonts w:hint="eastAsia" w:ascii="仿宋" w:hAnsi="仿宋" w:eastAsia="仿宋"/>
          <w:b w:val="0"/>
          <w:color w:val="000000" w:themeColor="text1"/>
          <w:sz w:val="28"/>
          <w:szCs w:val="28"/>
          <w14:textFill>
            <w14:solidFill>
              <w14:schemeClr w14:val="tx1"/>
            </w14:solidFill>
          </w14:textFill>
        </w:rPr>
        <w:t>综合得分评选方法</w:t>
      </w:r>
    </w:p>
    <w:tbl>
      <w:tblPr>
        <w:tblStyle w:val="16"/>
        <w:tblpPr w:leftFromText="180" w:rightFromText="180" w:vertAnchor="text" w:tblpXSpec="center" w:tblpY="1"/>
        <w:tblOverlap w:val="never"/>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851"/>
        <w:gridCol w:w="1701"/>
        <w:gridCol w:w="6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gridSpan w:val="2"/>
            <w:tcBorders>
              <w:bottom w:val="single" w:color="auto" w:sz="4" w:space="0"/>
              <w:right w:val="single" w:color="auto" w:sz="4" w:space="0"/>
            </w:tcBorders>
            <w:vAlign w:val="center"/>
          </w:tcPr>
          <w:p>
            <w:pPr>
              <w:spacing w:line="44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w:t>
            </w:r>
            <w:r>
              <w:rPr>
                <w:rFonts w:ascii="宋体" w:hAnsi="宋体"/>
                <w:b/>
                <w:color w:val="000000" w:themeColor="text1"/>
                <w14:textFill>
                  <w14:solidFill>
                    <w14:schemeClr w14:val="tx1"/>
                  </w14:solidFill>
                </w14:textFill>
              </w:rPr>
              <w:t>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条款内容</w:t>
            </w:r>
          </w:p>
        </w:tc>
        <w:tc>
          <w:tcPr>
            <w:tcW w:w="67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gridSpan w:val="2"/>
            <w:tcBorders>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分值构成</w:t>
            </w:r>
          </w:p>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(总分100分)</w:t>
            </w:r>
          </w:p>
        </w:tc>
        <w:tc>
          <w:tcPr>
            <w:tcW w:w="67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技术部分：</w:t>
            </w:r>
            <w:r>
              <w:rPr>
                <w:rFonts w:ascii="仿宋" w:hAnsi="仿宋" w:eastAsia="仿宋"/>
                <w:color w:val="000000" w:themeColor="text1"/>
                <w:sz w:val="24"/>
                <w14:textFill>
                  <w14:solidFill>
                    <w14:schemeClr w14:val="tx1"/>
                  </w14:solidFill>
                </w14:textFill>
              </w:rPr>
              <w:t>20</w:t>
            </w:r>
            <w:r>
              <w:rPr>
                <w:rFonts w:hint="eastAsia" w:ascii="仿宋" w:hAnsi="仿宋" w:eastAsia="仿宋"/>
                <w:color w:val="000000" w:themeColor="text1"/>
                <w:sz w:val="24"/>
                <w14:textFill>
                  <w14:solidFill>
                    <w14:schemeClr w14:val="tx1"/>
                  </w14:solidFill>
                </w14:textFill>
              </w:rPr>
              <w:t>分</w:t>
            </w:r>
          </w:p>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经济部分：</w:t>
            </w:r>
            <w:r>
              <w:rPr>
                <w:rFonts w:ascii="仿宋" w:hAnsi="仿宋" w:eastAsia="仿宋"/>
                <w:color w:val="000000" w:themeColor="text1"/>
                <w:sz w:val="24"/>
                <w14:textFill>
                  <w14:solidFill>
                    <w14:schemeClr w14:val="tx1"/>
                  </w14:solidFill>
                </w14:textFill>
              </w:rPr>
              <w:t>80</w:t>
            </w:r>
            <w:r>
              <w:rPr>
                <w:rFonts w:hint="eastAsia" w:ascii="仿宋" w:hAnsi="仿宋" w:eastAsia="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gridSpan w:val="2"/>
            <w:tcBorders>
              <w:top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评标基准价计算方法</w:t>
            </w:r>
          </w:p>
        </w:tc>
        <w:tc>
          <w:tcPr>
            <w:tcW w:w="67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olor w:val="000000" w:themeColor="text1"/>
                <w:sz w:val="24"/>
                <w:highlight w:val="yellow"/>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比选人公布的控制价以内的所有经初步评审合格的投标人的报价中去掉其中（有效报价不足六家（含）报价则不去掉）的最高价和最低价后进行算术平均，为评标基础报价。报价等于评标基础报价的，得80分；除80分情况以外的其他报价，按照以下标准计算分值：报价每高于评标基础报价的1%，扣1分，报价每低于评标基础报价的</w:t>
            </w:r>
            <w:r>
              <w:rPr>
                <w:rFonts w:ascii="仿宋" w:hAnsi="仿宋" w:eastAsia="仿宋"/>
                <w:color w:val="000000" w:themeColor="text1"/>
                <w:sz w:val="24"/>
                <w14:textFill>
                  <w14:solidFill>
                    <w14:schemeClr w14:val="tx1"/>
                  </w14:solidFill>
                </w14:textFill>
              </w:rPr>
              <w:t>1%，扣0.5分</w:t>
            </w:r>
            <w:r>
              <w:rPr>
                <w:rFonts w:hint="eastAsia" w:ascii="仿宋" w:hAnsi="仿宋" w:eastAsia="仿宋"/>
                <w:color w:val="000000" w:themeColor="text1"/>
                <w:sz w:val="24"/>
                <w14:textFill>
                  <w14:solidFill>
                    <w14:schemeClr w14:val="tx1"/>
                  </w14:solidFill>
                </w14:textFill>
              </w:rPr>
              <w:t>，以此类推直至扣完为止。（保留小数点后两位，第三位四舍五入。）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555"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701" w:type="dxa"/>
            <w:tcBorders>
              <w:top w:val="single" w:color="auto" w:sz="4" w:space="0"/>
              <w:left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报价的偏差率</w:t>
            </w:r>
          </w:p>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计算公式</w:t>
            </w:r>
          </w:p>
        </w:tc>
        <w:tc>
          <w:tcPr>
            <w:tcW w:w="6775" w:type="dxa"/>
            <w:tcBorders>
              <w:top w:val="single" w:color="auto" w:sz="4" w:space="0"/>
              <w:left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偏差率=100% ×（响应人报价－评标基准价）/评标基准价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704" w:type="dxa"/>
            <w:vMerge w:val="restart"/>
            <w:tcBorders>
              <w:top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1</w:t>
            </w:r>
          </w:p>
        </w:tc>
        <w:tc>
          <w:tcPr>
            <w:tcW w:w="851" w:type="dxa"/>
            <w:vMerge w:val="restart"/>
            <w:tcBorders>
              <w:top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技术部分标准</w:t>
            </w:r>
          </w:p>
          <w:p>
            <w:pPr>
              <w:pStyle w:val="2"/>
              <w:rPr>
                <w:color w:val="000000" w:themeColor="text1"/>
                <w14:textFill>
                  <w14:solidFill>
                    <w14:schemeClr w14:val="tx1"/>
                  </w14:solidFill>
                </w14:textFill>
              </w:rPr>
            </w:pPr>
            <w:r>
              <w:rPr>
                <w:rFonts w:hint="eastAsia" w:ascii="仿宋" w:hAnsi="仿宋" w:eastAsia="仿宋"/>
                <w:b w:val="0"/>
                <w:color w:val="000000" w:themeColor="text1"/>
                <w:sz w:val="24"/>
                <w14:textFill>
                  <w14:solidFill>
                    <w14:schemeClr w14:val="tx1"/>
                  </w14:solidFill>
                </w14:textFill>
              </w:rPr>
              <w:t>（A）</w:t>
            </w:r>
          </w:p>
        </w:tc>
        <w:tc>
          <w:tcPr>
            <w:tcW w:w="1701" w:type="dxa"/>
            <w:tcBorders>
              <w:top w:val="single" w:color="auto" w:sz="4" w:space="0"/>
              <w:left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技术方案</w:t>
            </w:r>
          </w:p>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分）</w:t>
            </w:r>
          </w:p>
        </w:tc>
        <w:tc>
          <w:tcPr>
            <w:tcW w:w="6775"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根据建设项目的技术方案，软硬件架构设计安全合理，功能模块设计完善，具有可执行性。优秀的得6-8分，良好的得4-6分；一般的得2-4分；差的得0-2分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trPr>
        <w:tc>
          <w:tcPr>
            <w:tcW w:w="704" w:type="dxa"/>
            <w:vMerge w:val="continue"/>
            <w:tcBorders>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p>
        </w:tc>
        <w:tc>
          <w:tcPr>
            <w:tcW w:w="851" w:type="dxa"/>
            <w:vMerge w:val="continue"/>
            <w:tcBorders>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项目进度计划（4分）</w:t>
            </w:r>
          </w:p>
        </w:tc>
        <w:tc>
          <w:tcPr>
            <w:tcW w:w="6775"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制定详细的项目进度计划表，进度计划的合理、全面，根据功能模块设计有明确的时间节点，关键线路的清晰。优秀的得3-4分；良好的得1-2分；较差的得0-1分。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704" w:type="dxa"/>
            <w:vMerge w:val="continue"/>
            <w:tcBorders>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p>
        </w:tc>
        <w:tc>
          <w:tcPr>
            <w:tcW w:w="851" w:type="dxa"/>
            <w:vMerge w:val="continue"/>
            <w:tcBorders>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计算机类工程师数量</w:t>
            </w:r>
          </w:p>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（3分）</w:t>
            </w:r>
          </w:p>
        </w:tc>
        <w:tc>
          <w:tcPr>
            <w:tcW w:w="6775" w:type="dxa"/>
            <w:tcBorders>
              <w:top w:val="single" w:color="auto" w:sz="4" w:space="0"/>
              <w:left w:val="single" w:color="auto" w:sz="4" w:space="0"/>
              <w:bottom w:val="single" w:color="auto" w:sz="4" w:space="0"/>
              <w:right w:val="single" w:color="auto" w:sz="4" w:space="0"/>
            </w:tcBorders>
          </w:tcPr>
          <w:p>
            <w:pPr>
              <w:tabs>
                <w:tab w:val="left" w:pos="546"/>
                <w:tab w:val="left" w:pos="711"/>
              </w:tabs>
              <w:snapToGrid w:val="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实施服务初级及以上工程师5人及以上，得3分。</w:t>
            </w:r>
          </w:p>
          <w:p>
            <w:pPr>
              <w:tabs>
                <w:tab w:val="left" w:pos="546"/>
                <w:tab w:val="left" w:pos="711"/>
              </w:tabs>
              <w:snapToGrid w:val="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实施服务初级及以上工程师3人及以上，得1分。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trPr>
        <w:tc>
          <w:tcPr>
            <w:tcW w:w="704" w:type="dxa"/>
            <w:vMerge w:val="continue"/>
            <w:tcBorders>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p>
        </w:tc>
        <w:tc>
          <w:tcPr>
            <w:tcW w:w="851" w:type="dxa"/>
            <w:vMerge w:val="continue"/>
            <w:tcBorders>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维保情况（3分）</w:t>
            </w:r>
          </w:p>
        </w:tc>
        <w:tc>
          <w:tcPr>
            <w:tcW w:w="6775" w:type="dxa"/>
            <w:tcBorders>
              <w:top w:val="single" w:color="auto" w:sz="4" w:space="0"/>
              <w:left w:val="single" w:color="auto" w:sz="4" w:space="0"/>
              <w:right w:val="single" w:color="auto" w:sz="4" w:space="0"/>
            </w:tcBorders>
          </w:tcPr>
          <w:p>
            <w:pPr>
              <w:tabs>
                <w:tab w:val="left" w:pos="546"/>
                <w:tab w:val="left" w:pos="711"/>
              </w:tabs>
              <w:snapToGrid w:val="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两年质保后，根据维保费用收取金额由低到高进行排序，第一位得3分，第二位得2分，第三位1分，其余不得分。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1" w:hRule="atLeast"/>
        </w:trPr>
        <w:tc>
          <w:tcPr>
            <w:tcW w:w="704" w:type="dxa"/>
            <w:tcBorders>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p>
        </w:tc>
        <w:tc>
          <w:tcPr>
            <w:tcW w:w="851" w:type="dxa"/>
            <w:tcBorders>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项目经验（2分）</w:t>
            </w:r>
          </w:p>
        </w:tc>
        <w:tc>
          <w:tcPr>
            <w:tcW w:w="6775" w:type="dxa"/>
            <w:tcBorders>
              <w:top w:val="single" w:color="auto" w:sz="4" w:space="0"/>
              <w:left w:val="single" w:color="auto" w:sz="4" w:space="0"/>
              <w:right w:val="single" w:color="auto" w:sz="4" w:space="0"/>
            </w:tcBorders>
          </w:tcPr>
          <w:p>
            <w:pPr>
              <w:tabs>
                <w:tab w:val="left" w:pos="546"/>
                <w:tab w:val="left" w:pos="711"/>
              </w:tabs>
              <w:snapToGrid w:val="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具有类似系统建设经验，并提供相应合同证明材料。根据经验情况得分，总分2分，不具有相关经验的得0分。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3" w:hRule="atLeast"/>
        </w:trPr>
        <w:tc>
          <w:tcPr>
            <w:tcW w:w="704" w:type="dxa"/>
            <w:tcBorders>
              <w:top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2</w:t>
            </w:r>
          </w:p>
        </w:tc>
        <w:tc>
          <w:tcPr>
            <w:tcW w:w="851" w:type="dxa"/>
            <w:tcBorders>
              <w:top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报价（B）</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总费用报价（</w:t>
            </w:r>
            <w:r>
              <w:rPr>
                <w:rFonts w:ascii="仿宋" w:hAnsi="仿宋" w:eastAsia="仿宋"/>
                <w:color w:val="000000" w:themeColor="text1"/>
                <w:sz w:val="24"/>
                <w14:textFill>
                  <w14:solidFill>
                    <w14:schemeClr w14:val="tx1"/>
                  </w14:solidFill>
                </w14:textFill>
              </w:rPr>
              <w:t>80</w:t>
            </w:r>
            <w:r>
              <w:rPr>
                <w:rFonts w:hint="eastAsia" w:ascii="仿宋" w:hAnsi="仿宋" w:eastAsia="仿宋"/>
                <w:color w:val="000000" w:themeColor="text1"/>
                <w:sz w:val="24"/>
                <w14:textFill>
                  <w14:solidFill>
                    <w14:schemeClr w14:val="tx1"/>
                  </w14:solidFill>
                </w14:textFill>
              </w:rPr>
              <w:t>分）</w:t>
            </w:r>
          </w:p>
        </w:tc>
        <w:tc>
          <w:tcPr>
            <w:tcW w:w="677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包含本次系统建设所有报价。响应人的报价与评标基准价相比，相同得80分，每增加1%扣1分，每减少1%扣0.5分，扣完为止。</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704"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851" w:type="dxa"/>
            <w:tcBorders>
              <w:top w:val="single" w:color="auto" w:sz="4" w:space="0"/>
              <w:bottom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响应人得分</w:t>
            </w:r>
          </w:p>
        </w:tc>
        <w:tc>
          <w:tcPr>
            <w:tcW w:w="84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响应人得分=A+B</w:t>
            </w:r>
          </w:p>
        </w:tc>
      </w:tr>
    </w:tbl>
    <w:p>
      <w:pPr>
        <w:rPr>
          <w:rFonts w:ascii="仿宋" w:hAnsi="仿宋" w:eastAsia="仿宋"/>
          <w:b/>
          <w:bCs/>
          <w:color w:val="000000" w:themeColor="text1"/>
          <w:sz w:val="28"/>
          <w:szCs w:val="28"/>
          <w14:textFill>
            <w14:solidFill>
              <w14:schemeClr w14:val="tx1"/>
            </w14:solidFill>
          </w14:textFill>
        </w:rPr>
      </w:pPr>
    </w:p>
    <w:p>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五、比选文件发放的时间及地点</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比选文件及相关资料于2021年7月</w:t>
      </w:r>
      <w:r>
        <w:rPr>
          <w:rFonts w:hint="eastAsia" w:ascii="仿宋" w:hAnsi="仿宋" w:eastAsia="仿宋"/>
          <w:color w:val="000000" w:themeColor="text1"/>
          <w:sz w:val="28"/>
          <w:szCs w:val="28"/>
          <w:lang w:val="en-US" w:eastAsia="zh-CN"/>
          <w14:textFill>
            <w14:solidFill>
              <w14:schemeClr w14:val="tx1"/>
            </w14:solidFill>
          </w14:textFill>
        </w:rPr>
        <w:t>27</w:t>
      </w:r>
      <w:bookmarkStart w:id="19" w:name="_GoBack"/>
      <w:bookmarkEnd w:id="19"/>
      <w:r>
        <w:rPr>
          <w:rFonts w:hint="eastAsia" w:ascii="仿宋" w:hAnsi="仿宋" w:eastAsia="仿宋"/>
          <w:color w:val="000000" w:themeColor="text1"/>
          <w:sz w:val="28"/>
          <w:szCs w:val="28"/>
          <w14:textFill>
            <w14:solidFill>
              <w14:schemeClr w14:val="tx1"/>
            </w14:solidFill>
          </w14:textFill>
        </w:rPr>
        <w:t>日由重庆江北国际机场有限公司市场运营部在重庆机场集团官方网站发布。</w:t>
      </w:r>
    </w:p>
    <w:p>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六、比选响应保证金及履约保证金</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6.1</w:t>
      </w:r>
      <w:r>
        <w:rPr>
          <w:rFonts w:hint="eastAsia" w:ascii="仿宋" w:hAnsi="仿宋" w:eastAsia="仿宋"/>
          <w:color w:val="000000" w:themeColor="text1"/>
          <w:sz w:val="28"/>
          <w:szCs w:val="28"/>
          <w14:textFill>
            <w14:solidFill>
              <w14:schemeClr w14:val="tx1"/>
            </w14:solidFill>
          </w14:textFill>
        </w:rPr>
        <w:t>比选响应保证金</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1、比选响应保证金：金额为人民币5</w:t>
      </w:r>
      <w:r>
        <w:rPr>
          <w:rFonts w:ascii="仿宋" w:hAnsi="仿宋" w:eastAsia="仿宋"/>
          <w:color w:val="000000" w:themeColor="text1"/>
          <w:sz w:val="28"/>
          <w:szCs w:val="28"/>
          <w14:textFill>
            <w14:solidFill>
              <w14:schemeClr w14:val="tx1"/>
            </w14:solidFill>
          </w14:textFill>
        </w:rPr>
        <w:t>000.00</w:t>
      </w:r>
      <w:r>
        <w:rPr>
          <w:rFonts w:hint="eastAsia" w:ascii="仿宋" w:hAnsi="仿宋" w:eastAsia="仿宋"/>
          <w:color w:val="000000" w:themeColor="text1"/>
          <w:sz w:val="28"/>
          <w:szCs w:val="28"/>
          <w14:textFill>
            <w14:solidFill>
              <w14:schemeClr w14:val="tx1"/>
            </w14:solidFill>
          </w14:textFill>
        </w:rPr>
        <w:t>元（大写：伍仟元整）。</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提交方式：比选响应人企业基本账户银行转账。比选响应人提交比选响应保证金后应到采购人计划财务部（重庆市渝北区机场西路26号重庆江北国际机场有限公司办公楼1楼）换取保证金收据，并将保证金收据复印件装入比选响应文件中。</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开户名：重庆江北国际机场有限公司</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开户银行：中国建设银行股份有限公司重庆渝北机场支行</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账号：5005</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1083</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8000</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0000</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060</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注意：比选响应人递交比选响应文件时应出示采购人财务部开具的项目比选保证金收据原件，否则，采购人将拒收比选响应文件。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3、提交时间：比选开始前。</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6.2</w:t>
      </w:r>
      <w:r>
        <w:rPr>
          <w:rFonts w:hint="eastAsia" w:ascii="仿宋" w:hAnsi="仿宋" w:eastAsia="仿宋"/>
          <w:color w:val="000000" w:themeColor="text1"/>
          <w:sz w:val="28"/>
          <w:szCs w:val="28"/>
          <w14:textFill>
            <w14:solidFill>
              <w14:schemeClr w14:val="tx1"/>
            </w14:solidFill>
          </w14:textFill>
        </w:rPr>
        <w:t>履约保证金</w:t>
      </w:r>
    </w:p>
    <w:p>
      <w:pPr>
        <w:pStyle w:val="21"/>
        <w:ind w:firstLine="56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8"/>
          <w:szCs w:val="28"/>
          <w:lang w:eastAsia="zh-CN"/>
          <w14:textFill>
            <w14:solidFill>
              <w14:schemeClr w14:val="tx1"/>
            </w14:solidFill>
          </w14:textFill>
        </w:rPr>
        <w:t>履约保证金为合同总价款的</w:t>
      </w:r>
      <w:r>
        <w:rPr>
          <w:rFonts w:hint="eastAsia" w:ascii="仿宋" w:eastAsia="仿宋"/>
          <w:color w:val="000000" w:themeColor="text1"/>
          <w:sz w:val="28"/>
          <w:szCs w:val="28"/>
          <w:lang w:val="en-US" w:eastAsia="zh-CN"/>
          <w14:textFill>
            <w14:solidFill>
              <w14:schemeClr w14:val="tx1"/>
            </w14:solidFill>
          </w14:textFill>
        </w:rPr>
        <w:t>5%</w:t>
      </w:r>
      <w:r>
        <w:rPr>
          <w:rFonts w:hint="eastAsia" w:ascii="仿宋" w:eastAsia="仿宋"/>
          <w:color w:val="000000" w:themeColor="text1"/>
          <w:sz w:val="28"/>
          <w:szCs w:val="28"/>
          <w:lang w:eastAsia="zh-CN"/>
          <w14:textFill>
            <w14:solidFill>
              <w14:schemeClr w14:val="tx1"/>
            </w14:solidFill>
          </w14:textFill>
        </w:rPr>
        <w:t>,比选响应方在收到成交通知书10个日历日内缴纳，</w:t>
      </w:r>
      <w:r>
        <w:rPr>
          <w:rFonts w:ascii="仿宋" w:eastAsia="仿宋"/>
          <w:color w:val="000000" w:themeColor="text1"/>
          <w:sz w:val="28"/>
          <w:szCs w:val="28"/>
          <w:lang w:eastAsia="zh-CN"/>
          <w14:textFill>
            <w14:solidFill>
              <w14:schemeClr w14:val="tx1"/>
            </w14:solidFill>
          </w14:textFill>
        </w:rPr>
        <w:t>待所供</w:t>
      </w:r>
      <w:r>
        <w:rPr>
          <w:rFonts w:hint="eastAsia" w:ascii="仿宋" w:eastAsia="仿宋"/>
          <w:color w:val="000000" w:themeColor="text1"/>
          <w:sz w:val="28"/>
          <w:szCs w:val="28"/>
          <w:lang w:eastAsia="zh-CN"/>
          <w14:textFill>
            <w14:solidFill>
              <w14:schemeClr w14:val="tx1"/>
            </w14:solidFill>
          </w14:textFill>
        </w:rPr>
        <w:t>系统</w:t>
      </w:r>
      <w:r>
        <w:rPr>
          <w:rFonts w:ascii="仿宋" w:eastAsia="仿宋"/>
          <w:color w:val="000000" w:themeColor="text1"/>
          <w:sz w:val="28"/>
          <w:szCs w:val="28"/>
          <w:lang w:eastAsia="zh-CN"/>
          <w14:textFill>
            <w14:solidFill>
              <w14:schemeClr w14:val="tx1"/>
            </w14:solidFill>
          </w14:textFill>
        </w:rPr>
        <w:t>验收合格后15个工作日内无息退还</w:t>
      </w:r>
      <w:r>
        <w:rPr>
          <w:rFonts w:hint="eastAsia" w:ascii="仿宋" w:eastAsia="仿宋"/>
          <w:color w:val="000000" w:themeColor="text1"/>
          <w:sz w:val="28"/>
          <w:szCs w:val="28"/>
          <w:lang w:eastAsia="zh-CN"/>
          <w14:textFill>
            <w14:solidFill>
              <w14:schemeClr w14:val="tx1"/>
            </w14:solidFill>
          </w14:textFill>
        </w:rPr>
        <w:t>。</w:t>
      </w:r>
    </w:p>
    <w:p>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七、支付方式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7.1</w:t>
      </w:r>
      <w:r>
        <w:rPr>
          <w:rFonts w:hint="eastAsia" w:ascii="仿宋" w:hAnsi="仿宋" w:eastAsia="仿宋"/>
          <w:color w:val="000000" w:themeColor="text1"/>
          <w:sz w:val="28"/>
          <w:szCs w:val="28"/>
          <w14:textFill>
            <w14:solidFill>
              <w14:schemeClr w14:val="tx1"/>
            </w14:solidFill>
          </w14:textFill>
        </w:rPr>
        <w:t>项目验收合格后</w:t>
      </w:r>
      <w:r>
        <w:rPr>
          <w:rFonts w:hint="eastAsia" w:ascii="仿宋" w:hAnsi="仿宋" w:eastAsia="仿宋"/>
          <w:color w:val="000000" w:themeColor="text1"/>
          <w:sz w:val="28"/>
          <w:szCs w:val="28"/>
          <w:lang w:val="en-US" w:eastAsia="zh-CN"/>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0个工作日内支付9</w:t>
      </w:r>
      <w:r>
        <w:rPr>
          <w:rFonts w:hint="eastAsia" w:ascii="仿宋" w:hAnsi="仿宋" w:eastAsia="仿宋"/>
          <w:color w:val="000000" w:themeColor="text1"/>
          <w:sz w:val="28"/>
          <w:szCs w:val="28"/>
          <w:lang w:val="en-US" w:eastAsia="zh-CN"/>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合同价</w:t>
      </w:r>
      <w:r>
        <w:rPr>
          <w:rFonts w:ascii="仿宋" w:hAnsi="仿宋" w:eastAsia="仿宋"/>
          <w:color w:val="000000" w:themeColor="text1"/>
          <w:sz w:val="28"/>
          <w:szCs w:val="28"/>
          <w14:textFill>
            <w14:solidFill>
              <w14:schemeClr w14:val="tx1"/>
            </w14:solidFill>
          </w14:textFill>
        </w:rPr>
        <w:t>款。</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7.2</w:t>
      </w:r>
      <w:r>
        <w:rPr>
          <w:rFonts w:hint="eastAsia" w:ascii="仿宋" w:hAnsi="仿宋" w:eastAsia="仿宋"/>
          <w:color w:val="000000" w:themeColor="text1"/>
          <w:sz w:val="28"/>
          <w:szCs w:val="28"/>
          <w14:textFill>
            <w14:solidFill>
              <w14:schemeClr w14:val="tx1"/>
            </w14:solidFill>
          </w14:textFill>
        </w:rPr>
        <w:t>两</w:t>
      </w:r>
      <w:r>
        <w:rPr>
          <w:rFonts w:ascii="仿宋" w:hAnsi="仿宋" w:eastAsia="仿宋"/>
          <w:color w:val="000000" w:themeColor="text1"/>
          <w:sz w:val="28"/>
          <w:szCs w:val="28"/>
          <w14:textFill>
            <w14:solidFill>
              <w14:schemeClr w14:val="tx1"/>
            </w14:solidFill>
          </w14:textFill>
        </w:rPr>
        <w:t>年质保期结束无质量问题后</w:t>
      </w:r>
      <w:r>
        <w:rPr>
          <w:rFonts w:hint="eastAsia" w:ascii="仿宋" w:hAnsi="仿宋" w:eastAsia="仿宋"/>
          <w:color w:val="000000" w:themeColor="text1"/>
          <w:sz w:val="28"/>
          <w:szCs w:val="28"/>
          <w:lang w:val="en-US" w:eastAsia="zh-CN"/>
          <w14:textFill>
            <w14:solidFill>
              <w14:schemeClr w14:val="tx1"/>
            </w14:solidFill>
          </w14:textFill>
        </w:rPr>
        <w:t>45个工作日内</w:t>
      </w:r>
      <w:r>
        <w:rPr>
          <w:rFonts w:ascii="仿宋" w:hAnsi="仿宋" w:eastAsia="仿宋"/>
          <w:color w:val="000000" w:themeColor="text1"/>
          <w:sz w:val="28"/>
          <w:szCs w:val="28"/>
          <w14:textFill>
            <w14:solidFill>
              <w14:schemeClr w14:val="tx1"/>
            </w14:solidFill>
          </w14:textFill>
        </w:rPr>
        <w:t>支付剩下</w:t>
      </w:r>
      <w:r>
        <w:rPr>
          <w:rFonts w:hint="eastAsia" w:ascii="仿宋" w:hAnsi="仿宋" w:eastAsia="仿宋"/>
          <w:color w:val="000000" w:themeColor="text1"/>
          <w:sz w:val="28"/>
          <w:szCs w:val="28"/>
          <w:lang w:val="en-US" w:eastAsia="zh-CN"/>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合同价</w:t>
      </w:r>
      <w:r>
        <w:rPr>
          <w:rFonts w:ascii="仿宋" w:hAnsi="仿宋" w:eastAsia="仿宋"/>
          <w:color w:val="000000" w:themeColor="text1"/>
          <w:sz w:val="28"/>
          <w:szCs w:val="28"/>
          <w14:textFill>
            <w14:solidFill>
              <w14:schemeClr w14:val="tx1"/>
            </w14:solidFill>
          </w14:textFill>
        </w:rPr>
        <w:t>款</w:t>
      </w:r>
      <w:r>
        <w:rPr>
          <w:rFonts w:hint="eastAsia" w:ascii="仿宋" w:hAnsi="仿宋" w:eastAsia="仿宋"/>
          <w:color w:val="000000" w:themeColor="text1"/>
          <w:sz w:val="28"/>
          <w:szCs w:val="28"/>
          <w14:textFill>
            <w14:solidFill>
              <w14:schemeClr w14:val="tx1"/>
            </w14:solidFill>
          </w14:textFill>
        </w:rPr>
        <w:t>。</w:t>
      </w:r>
    </w:p>
    <w:p>
      <w:pPr>
        <w:pStyle w:val="2"/>
        <w:jc w:val="both"/>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 xml:space="preserve"> </w:t>
      </w:r>
      <w:r>
        <w:rPr>
          <w:rFonts w:ascii="仿宋" w:hAnsi="仿宋" w:eastAsia="仿宋"/>
          <w:b w:val="0"/>
          <w:color w:val="000000" w:themeColor="text1"/>
          <w:sz w:val="28"/>
          <w:szCs w:val="28"/>
          <w14:textFill>
            <w14:solidFill>
              <w14:schemeClr w14:val="tx1"/>
            </w14:solidFill>
          </w14:textFill>
        </w:rPr>
        <w:t xml:space="preserve">    </w:t>
      </w:r>
      <w:r>
        <w:rPr>
          <w:rFonts w:hint="eastAsia" w:ascii="仿宋" w:hAnsi="仿宋" w:eastAsia="仿宋"/>
          <w:b w:val="0"/>
          <w:color w:val="000000" w:themeColor="text1"/>
          <w:sz w:val="28"/>
          <w:szCs w:val="28"/>
          <w14:textFill>
            <w14:solidFill>
              <w14:schemeClr w14:val="tx1"/>
            </w14:solidFill>
          </w14:textFill>
        </w:rPr>
        <w:t>若乙方开具增值税专用发票，则甲方支付不含税合同金额和税额的总金额；若乙方开具增值税普通发票，则甲方仅支付不含税合同金额。</w:t>
      </w:r>
    </w:p>
    <w:p>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八、工期/到货时间</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100</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p>
    <w:p>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九、比选响应有效期</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90天。</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注：比选响应有效期作响应有效期理解。</w:t>
      </w:r>
    </w:p>
    <w:p>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十、比选响应文件的编制和提交</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10.1</w:t>
      </w:r>
      <w:r>
        <w:rPr>
          <w:rFonts w:hint="eastAsia" w:ascii="仿宋" w:hAnsi="仿宋" w:eastAsia="仿宋"/>
          <w:color w:val="000000" w:themeColor="text1"/>
          <w:sz w:val="28"/>
          <w:szCs w:val="28"/>
          <w14:textFill>
            <w14:solidFill>
              <w14:schemeClr w14:val="tx1"/>
            </w14:solidFill>
          </w14:textFill>
        </w:rPr>
        <w:t>比选响应方应当按照比选采购文件的要求编制比选响应文件，比选响应文件应当对比选采购文件提出的要求和条件作出实质性应答。</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10.2</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zh-CN"/>
          <w14:textFill>
            <w14:solidFill>
              <w14:schemeClr w14:val="tx1"/>
            </w14:solidFill>
          </w14:textFill>
        </w:rPr>
        <w:t>文件应用A4规格纸编制并装订成册，主要由以下几个部分组成：</w:t>
      </w:r>
    </w:p>
    <w:p>
      <w:pPr>
        <w:ind w:firstLine="560" w:firstLineChars="200"/>
        <w:jc w:val="left"/>
        <w:rPr>
          <w:rFonts w:ascii="仿宋" w:hAnsi="仿宋" w:eastAsia="仿宋" w:cs="仿宋"/>
          <w:color w:val="000000" w:themeColor="text1"/>
          <w:sz w:val="28"/>
          <w:lang w:val="zh-CN"/>
          <w14:textFill>
            <w14:solidFill>
              <w14:schemeClr w14:val="tx1"/>
            </w14:solidFill>
          </w14:textFill>
        </w:rPr>
      </w:pPr>
      <w:r>
        <w:rPr>
          <w:rFonts w:hint="eastAsia" w:ascii="仿宋" w:hAnsi="仿宋" w:eastAsia="仿宋" w:cs="仿宋"/>
          <w:color w:val="000000" w:themeColor="text1"/>
          <w:sz w:val="28"/>
          <w:lang w:val="en-US" w:eastAsia="zh-CN"/>
          <w14:textFill>
            <w14:solidFill>
              <w14:schemeClr w14:val="tx1"/>
            </w14:solidFill>
          </w14:textFill>
        </w:rPr>
        <w:t>10.2.1</w:t>
      </w:r>
      <w:r>
        <w:rPr>
          <w:rFonts w:hint="eastAsia" w:ascii="仿宋" w:hAnsi="仿宋" w:eastAsia="仿宋" w:cs="仿宋"/>
          <w:color w:val="000000" w:themeColor="text1"/>
          <w:sz w:val="28"/>
          <w:lang w:val="zh-CN"/>
          <w14:textFill>
            <w14:solidFill>
              <w14:schemeClr w14:val="tx1"/>
            </w14:solidFill>
          </w14:textFill>
        </w:rPr>
        <w:t>封面。</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10.2.2</w:t>
      </w:r>
      <w:r>
        <w:rPr>
          <w:rFonts w:hint="eastAsia" w:ascii="仿宋" w:hAnsi="仿宋" w:eastAsia="仿宋"/>
          <w:color w:val="000000" w:themeColor="text1"/>
          <w:sz w:val="28"/>
          <w:szCs w:val="28"/>
          <w:lang w:val="zh-CN"/>
          <w14:textFill>
            <w14:solidFill>
              <w14:schemeClr w14:val="tx1"/>
            </w14:solidFill>
          </w14:textFill>
        </w:rPr>
        <w:t>资质部分。主要包括：营业执照等资格证明文件（复印件）、法定代表人身份证明、法人代表授权书、其它资格证明（如资质等）。</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10.2.3</w:t>
      </w:r>
      <w:r>
        <w:rPr>
          <w:rFonts w:hint="eastAsia" w:ascii="仿宋" w:hAnsi="仿宋" w:eastAsia="仿宋"/>
          <w:color w:val="000000" w:themeColor="text1"/>
          <w:sz w:val="28"/>
          <w:szCs w:val="28"/>
          <w:lang w:val="zh-CN"/>
          <w14:textFill>
            <w14:solidFill>
              <w14:schemeClr w14:val="tx1"/>
            </w14:solidFill>
          </w14:textFill>
        </w:rPr>
        <w:t>报价部分。主要包括：加盖公章的报价函及声明（格式见附件</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10.2.4</w:t>
      </w:r>
      <w:r>
        <w:rPr>
          <w:rFonts w:hint="eastAsia" w:ascii="仿宋" w:hAnsi="仿宋" w:eastAsia="仿宋"/>
          <w:color w:val="000000" w:themeColor="text1"/>
          <w:sz w:val="28"/>
          <w:szCs w:val="28"/>
          <w:lang w:val="zh-CN"/>
          <w14:textFill>
            <w14:solidFill>
              <w14:schemeClr w14:val="tx1"/>
            </w14:solidFill>
          </w14:textFill>
        </w:rPr>
        <w:t>技术部分。主要包括：技术方案、项目进度计划等。</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10.2.5</w:t>
      </w:r>
      <w:r>
        <w:rPr>
          <w:rFonts w:hint="eastAsia" w:ascii="仿宋" w:hAnsi="仿宋" w:eastAsia="仿宋"/>
          <w:color w:val="000000" w:themeColor="text1"/>
          <w:sz w:val="28"/>
          <w:szCs w:val="28"/>
          <w:lang w:val="zh-CN"/>
          <w14:textFill>
            <w14:solidFill>
              <w14:schemeClr w14:val="tx1"/>
            </w14:solidFill>
          </w14:textFill>
        </w:rPr>
        <w:t>比选响应文件可合并装订成册，纸质文件一式</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份，其中正本1份，副本</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份；电子比选响应文件1份（U盘形式）。</w:t>
      </w:r>
    </w:p>
    <w:p>
      <w:pPr>
        <w:spacing w:line="60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十一、比选响应文件作废条款</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 未按照规定交纳比选响应保证金的。</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 比选响应人的报价超过比选最高限价的。</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11.3 比选响应文件未装袋密封的。比选响应文件封面及密封袋封面上未注明“项目名称”、“项目编号”、“比选响应单位名称”，或未加盖单位公章。</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 比选响应文件装订要求不符。</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11.4.1 散装或者活页装订的。</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11.4.2 比选响应文件份数不足或未按要求提供电子U盘的。</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11.4.3 比选响应文件封面未标注正副本（密封袋封面无需标注正副本）。</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 比选响应文件中报价函部分、授权部分无法定代表人签字（签章）或签字人无有效授权书的。</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11.6 报价函部分未按规定的格式完整填写（增项填写不作为作废条款）。</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11.7 评审委员会审查发现比选响应文件未能对比选文件提出的所有实质性要求和条件作出响应的。</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11.8 有串通比选或弄虚作假或有其他违法行为的。</w:t>
      </w:r>
    </w:p>
    <w:p>
      <w:pPr>
        <w:spacing w:line="60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十二、异议</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（一）采购响应人或者其他利害关系人对采购项目的评审结果有不同意见，应当在采购结果公示期之内以书面形式向采购人提出异议（以采购人收到书面异议之日为准）。</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（二）异议提出人向采购人提起异议时，应当提交异议书。异议书应当包括下列内容：</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zh-CN"/>
          <w14:textFill>
            <w14:solidFill>
              <w14:schemeClr w14:val="tx1"/>
            </w14:solidFill>
          </w14:textFill>
        </w:rPr>
        <w:t>异议提出人的名称、地址及有效联系方式。</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异议事项的基本事实。</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异议请求及主张。</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有效线索和相关证据、证明材料。</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五）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zh-CN"/>
          <w14:textFill>
            <w14:solidFill>
              <w14:schemeClr w14:val="tx1"/>
            </w14:solidFill>
          </w14:textFill>
        </w:rPr>
        <w:t>招标投标法第二十二条规定的招标投标保密信息。</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应当保密的采购响应文件（但采购人提起异议时，采购响应文件不作为非法证据）。</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招标投标法第四十四条规定保密的投标文件评审和比较情况、中标候选人推荐情况和评标有关的其他情况。</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其他依法应当保密的信息和资料。</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（六）有下列情形之一的异议，不予受理：</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zh-CN"/>
          <w14:textFill>
            <w14:solidFill>
              <w14:schemeClr w14:val="tx1"/>
            </w14:solidFill>
          </w14:textFill>
        </w:rPr>
        <w:t>异议事项不具体，且未提供有效线索、相关证据和证明材料，难以查证。</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未署异议提出人真实姓名、签字和有效联系方式。</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未经法定代表人或授权的委托代理人签字并加盖公章，或未经主要负责人或异议提出人本人签字。</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不在结果异议期内的。</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lang w:val="zh-CN"/>
          <w14:textFill>
            <w14:solidFill>
              <w14:schemeClr w14:val="tx1"/>
            </w14:solidFill>
          </w14:textFill>
        </w:rPr>
        <w:t>已对异议事项做出答复的。</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注：对采购文件内容的异议应在比选文件规定的质疑期内提出；对开标或比选唱价环节的异议应在开标或比选唱价环节提出。</w:t>
      </w:r>
    </w:p>
    <w:p>
      <w:pPr>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60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十三、监督部门</w:t>
      </w:r>
    </w:p>
    <w:p>
      <w:pPr>
        <w:autoSpaceDE w:val="0"/>
        <w:autoSpaceDN w:val="0"/>
        <w:adjustRightIn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重庆江北国际机场有限公司</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地址：</w:t>
      </w:r>
      <w:r>
        <w:rPr>
          <w:rFonts w:hint="eastAsia" w:ascii="仿宋" w:hAnsi="仿宋" w:eastAsia="仿宋" w:cs="仿宋"/>
          <w:color w:val="000000" w:themeColor="text1"/>
          <w:sz w:val="28"/>
          <w:szCs w:val="28"/>
          <w14:textFill>
            <w14:solidFill>
              <w14:schemeClr w14:val="tx1"/>
            </w14:solidFill>
          </w14:textFill>
        </w:rPr>
        <w:t>重庆江北国际机场机场西2路26号</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电话：</w:t>
      </w:r>
      <w:r>
        <w:rPr>
          <w:rFonts w:hint="eastAsia" w:ascii="仿宋" w:hAnsi="仿宋" w:eastAsia="仿宋" w:cs="仿宋"/>
          <w:color w:val="000000" w:themeColor="text1"/>
          <w:sz w:val="28"/>
          <w:szCs w:val="28"/>
          <w14:textFill>
            <w14:solidFill>
              <w14:schemeClr w14:val="tx1"/>
            </w14:solidFill>
          </w14:textFill>
        </w:rPr>
        <w:t>023-67152518</w:t>
      </w:r>
    </w:p>
    <w:p>
      <w:pPr>
        <w:spacing w:line="60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十四、比选时间、地点及结果通知</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（一）比选响应文件必须在</w:t>
      </w:r>
      <w:r>
        <w:rPr>
          <w:rFonts w:hint="eastAsia" w:ascii="仿宋" w:hAnsi="仿宋" w:eastAsia="仿宋"/>
          <w:color w:val="000000" w:themeColor="text1"/>
          <w:sz w:val="28"/>
          <w:szCs w:val="28"/>
          <w14:textFill>
            <w14:solidFill>
              <w14:schemeClr w14:val="tx1"/>
            </w14:solidFill>
          </w14:textFill>
        </w:rPr>
        <w:t>2021</w:t>
      </w:r>
      <w:r>
        <w:rPr>
          <w:rFonts w:hint="eastAsia" w:ascii="仿宋" w:hAnsi="仿宋" w:eastAsia="仿宋"/>
          <w:color w:val="000000" w:themeColor="text1"/>
          <w:sz w:val="28"/>
          <w:szCs w:val="28"/>
          <w:lang w:val="zh-CN"/>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lang w:val="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日上午9:00至10:00时送到重庆江北国际机场有限公司办公楼102室，过期不予受理。</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（二）2</w:t>
      </w:r>
      <w:r>
        <w:rPr>
          <w:rFonts w:hint="eastAsia" w:ascii="仿宋" w:hAnsi="仿宋" w:eastAsia="仿宋"/>
          <w:color w:val="000000" w:themeColor="text1"/>
          <w:sz w:val="28"/>
          <w:szCs w:val="28"/>
          <w14:textFill>
            <w14:solidFill>
              <w14:schemeClr w14:val="tx1"/>
            </w14:solidFill>
          </w14:textFill>
        </w:rPr>
        <w:t>021</w:t>
      </w:r>
      <w:r>
        <w:rPr>
          <w:rFonts w:hint="eastAsia" w:ascii="仿宋" w:hAnsi="仿宋" w:eastAsia="仿宋"/>
          <w:color w:val="000000" w:themeColor="text1"/>
          <w:sz w:val="28"/>
          <w:szCs w:val="28"/>
          <w:lang w:val="zh-CN"/>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lang w:val="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日上午10:00时在重庆江北国际机场有限公司（重庆市渝北区机场西路26号）办公楼</w:t>
      </w:r>
      <w:r>
        <w:rPr>
          <w:rFonts w:hint="eastAsia" w:ascii="仿宋" w:hAnsi="仿宋" w:eastAsia="仿宋"/>
          <w:color w:val="000000" w:themeColor="text1"/>
          <w:sz w:val="28"/>
          <w:szCs w:val="28"/>
          <w:lang w:val="en-US" w:eastAsia="zh-CN"/>
          <w14:textFill>
            <w14:solidFill>
              <w14:schemeClr w14:val="tx1"/>
            </w14:solidFill>
          </w14:textFill>
        </w:rPr>
        <w:t>102室</w:t>
      </w:r>
      <w:r>
        <w:rPr>
          <w:rFonts w:hint="eastAsia" w:ascii="仿宋" w:hAnsi="仿宋" w:eastAsia="仿宋"/>
          <w:color w:val="000000" w:themeColor="text1"/>
          <w:sz w:val="28"/>
          <w:szCs w:val="28"/>
          <w:lang w:val="zh-CN"/>
          <w14:textFill>
            <w14:solidFill>
              <w14:schemeClr w14:val="tx1"/>
            </w14:solidFill>
          </w14:textFill>
        </w:rPr>
        <w:t>对本项目进行比选，各比选响应人须参加。</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（三）参加比选唱价会议的比选响应人的法定代表人或其授权的代理人应当随身携带本人身份证（原件），授权的代理人还应当随身携带法定代表人授权委托书（原件），以备核验其合法身份。</w:t>
      </w:r>
    </w:p>
    <w:p>
      <w:pPr>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比选响应人若未派法定代表人或委托代理人出席比选唱价会议，</w:t>
      </w:r>
      <w:r>
        <w:rPr>
          <w:rFonts w:hint="eastAsia" w:ascii="仿宋" w:hAnsi="仿宋" w:eastAsia="仿宋"/>
          <w:color w:val="000000" w:themeColor="text1"/>
          <w:sz w:val="28"/>
          <w:szCs w:val="28"/>
          <w:lang w:val="en-US" w:eastAsia="zh-CN"/>
          <w14:textFill>
            <w14:solidFill>
              <w14:schemeClr w14:val="tx1"/>
            </w14:solidFill>
          </w14:textFill>
        </w:rPr>
        <w:t>将取消其比选资格。</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（四）比选结果通知：待结果确定后会及时通知，原则上只通知被选中的比选响应人，对未被选中的比选响应人不通知、不解释。</w:t>
      </w:r>
    </w:p>
    <w:p>
      <w:pPr>
        <w:spacing w:line="60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十五、联系方式</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业主：</w:t>
      </w:r>
      <w:r>
        <w:rPr>
          <w:rFonts w:hint="eastAsia" w:ascii="仿宋" w:hAnsi="仿宋" w:eastAsia="仿宋" w:cs="仿宋"/>
          <w:color w:val="000000" w:themeColor="text1"/>
          <w:sz w:val="28"/>
          <w:szCs w:val="28"/>
          <w14:textFill>
            <w14:solidFill>
              <w14:schemeClr w14:val="tx1"/>
            </w14:solidFill>
          </w14:textFill>
        </w:rPr>
        <w:t>重庆江北国际机场有限公司</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联系人：</w:t>
      </w:r>
      <w:r>
        <w:rPr>
          <w:rFonts w:hint="eastAsia" w:ascii="仿宋" w:hAnsi="仿宋" w:eastAsia="仿宋" w:cs="仿宋"/>
          <w:color w:val="000000" w:themeColor="text1"/>
          <w:sz w:val="28"/>
          <w:szCs w:val="28"/>
          <w14:textFill>
            <w14:solidFill>
              <w14:schemeClr w14:val="tx1"/>
            </w14:solidFill>
          </w14:textFill>
        </w:rPr>
        <w:t>曾女士</w:t>
      </w:r>
      <w:r>
        <w:rPr>
          <w:rFonts w:ascii="仿宋" w:hAnsi="仿宋" w:eastAsia="仿宋"/>
          <w:color w:val="000000" w:themeColor="text1"/>
          <w:sz w:val="28"/>
          <w:szCs w:val="28"/>
          <w:lang w:val="zh-CN"/>
          <w14:textFill>
            <w14:solidFill>
              <w14:schemeClr w14:val="tx1"/>
            </w14:solidFill>
          </w14:textFill>
        </w:rPr>
        <w:t xml:space="preserve"> </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电话：</w:t>
      </w:r>
      <w:r>
        <w:rPr>
          <w:rFonts w:hint="eastAsia" w:ascii="仿宋" w:hAnsi="仿宋" w:eastAsia="仿宋" w:cs="仿宋"/>
          <w:color w:val="000000" w:themeColor="text1"/>
          <w:sz w:val="28"/>
          <w:szCs w:val="28"/>
          <w14:textFill>
            <w14:solidFill>
              <w14:schemeClr w14:val="tx1"/>
            </w14:solidFill>
          </w14:textFill>
        </w:rPr>
        <w:t>023-67156296</w:t>
      </w:r>
    </w:p>
    <w:p>
      <w:pPr>
        <w:ind w:firstLine="560" w:firstLineChars="200"/>
        <w:rPr>
          <w:rFonts w:ascii="仿宋" w:hAnsi="仿宋" w:eastAsia="仿宋"/>
          <w:color w:val="000000" w:themeColor="text1"/>
          <w:sz w:val="28"/>
          <w:szCs w:val="28"/>
          <w:lang w:val="zh-CN"/>
          <w14:textFill>
            <w14:solidFill>
              <w14:schemeClr w14:val="tx1"/>
            </w14:solidFill>
          </w14:textFill>
        </w:rPr>
        <w:sectPr>
          <w:headerReference r:id="rId4" w:type="default"/>
          <w:footerReference r:id="rId5" w:type="default"/>
          <w:pgSz w:w="11900" w:h="16840"/>
          <w:pgMar w:top="1417" w:right="1417" w:bottom="1417" w:left="1417" w:header="851" w:footer="992" w:gutter="0"/>
          <w:cols w:space="720" w:num="1"/>
          <w:docGrid w:type="lines" w:linePitch="312" w:charSpace="0"/>
        </w:sectPr>
      </w:pPr>
      <w:r>
        <w:rPr>
          <w:rFonts w:hint="eastAsia" w:ascii="仿宋" w:hAnsi="仿宋" w:eastAsia="仿宋"/>
          <w:color w:val="000000" w:themeColor="text1"/>
          <w:sz w:val="28"/>
          <w:szCs w:val="28"/>
          <w:lang w:val="zh-CN"/>
          <w14:textFill>
            <w14:solidFill>
              <w14:schemeClr w14:val="tx1"/>
            </w14:solidFill>
          </w14:textFill>
        </w:rPr>
        <w:t>邮编：401120</w:t>
      </w:r>
    </w:p>
    <w:p>
      <w:pPr>
        <w:snapToGrid w:val="0"/>
        <w:spacing w:line="360" w:lineRule="auto"/>
        <w:rPr>
          <w:rFonts w:ascii="仿宋_GB2312" w:hAnsi="仿宋_GB2312" w:eastAsia="仿宋_GB2312"/>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bookmarkStart w:id="4" w:name="_Toc7127890"/>
      <w:r>
        <w:rPr>
          <w:rFonts w:hint="eastAsia" w:ascii="仿宋_GB2312" w:hAnsi="仿宋_GB2312" w:eastAsia="仿宋_GB2312"/>
          <w:b/>
          <w:bCs/>
          <w:color w:val="000000" w:themeColor="text1"/>
          <w:sz w:val="28"/>
          <w:szCs w:val="28"/>
          <w14:textFill>
            <w14:solidFill>
              <w14:schemeClr w14:val="tx1"/>
            </w14:solidFill>
          </w14:textFill>
        </w:rPr>
        <w:t>附件</w:t>
      </w:r>
      <w:r>
        <w:rPr>
          <w:rFonts w:ascii="仿宋_GB2312" w:hAnsi="仿宋_GB2312" w:eastAsia="仿宋_GB2312"/>
          <w:b/>
          <w:bCs/>
          <w:color w:val="000000" w:themeColor="text1"/>
          <w:sz w:val="28"/>
          <w:szCs w:val="28"/>
          <w14:textFill>
            <w14:solidFill>
              <w14:schemeClr w14:val="tx1"/>
            </w14:solidFill>
          </w14:textFill>
        </w:rPr>
        <w:t>1</w:t>
      </w:r>
      <w:r>
        <w:rPr>
          <w:rFonts w:hint="eastAsia" w:ascii="仿宋_GB2312" w:hAnsi="仿宋_GB2312" w:eastAsia="仿宋_GB2312"/>
          <w:b/>
          <w:bCs/>
          <w:color w:val="000000" w:themeColor="text1"/>
          <w:sz w:val="28"/>
          <w:szCs w:val="28"/>
          <w14:textFill>
            <w14:solidFill>
              <w14:schemeClr w14:val="tx1"/>
            </w14:solidFill>
          </w14:textFill>
        </w:rPr>
        <w:t>：</w:t>
      </w: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sectPr>
          <w:pgSz w:w="11900" w:h="16840"/>
          <w:pgMar w:top="1417" w:right="1417" w:bottom="1417" w:left="1417" w:header="851" w:footer="992" w:gutter="0"/>
          <w:cols w:space="720" w:num="1"/>
          <w:docGrid w:type="lines" w:linePitch="312" w:charSpace="0"/>
        </w:sectPr>
      </w:pPr>
      <w:r>
        <w:rPr>
          <w:rFonts w:hint="eastAsia" w:asciiTheme="minorEastAsia" w:hAnsiTheme="minorEastAsia" w:eastAsiaTheme="minorEastAsia"/>
          <w:b/>
          <w:bCs/>
          <w:color w:val="000000" w:themeColor="text1"/>
          <w:sz w:val="52"/>
          <w:szCs w:val="52"/>
          <w14:textFill>
            <w14:solidFill>
              <w14:schemeClr w14:val="tx1"/>
            </w14:solidFill>
          </w14:textFill>
        </w:rPr>
        <w:t>资 质 部 分</w:t>
      </w:r>
      <w:bookmarkEnd w:id="4"/>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1、法定代表人身份证明</w:t>
      </w:r>
    </w:p>
    <w:p>
      <w:pPr>
        <w:rPr>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比选人：</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jc w:val="left"/>
        <w:rPr>
          <w:rFonts w:ascii="宋体" w:hAnsi="宋体"/>
          <w:color w:val="000000" w:themeColor="text1"/>
          <w:kern w:val="0"/>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pStyle w:val="5"/>
        <w:rPr>
          <w:lang w:val="en-US"/>
        </w:rPr>
        <w:sectPr>
          <w:pgSz w:w="11900" w:h="16840"/>
          <w:pgMar w:top="1417" w:right="1417" w:bottom="1417" w:left="1417" w:header="851" w:footer="992" w:gutter="0"/>
          <w:cols w:space="720" w:num="1"/>
          <w:docGrid w:type="lines" w:linePitch="312" w:charSpace="0"/>
        </w:sectPr>
      </w:pP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z w:val="28"/>
          <w:szCs w:val="28"/>
          <w14:textFill>
            <w14:solidFill>
              <w14:schemeClr w14:val="tx1"/>
            </w14:solidFill>
          </w14:textFill>
        </w:rPr>
        <w:t>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比选响应单位：____________（盖章）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授权人：____________（签章）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被授权人代理人：____________（签章）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日期：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color w:val="000000" w:themeColor="text1"/>
          <w14:textFill>
            <w14:solidFill>
              <w14:schemeClr w14:val="tx1"/>
            </w14:solidFill>
          </w14:textFill>
        </w:rPr>
      </w:pPr>
    </w:p>
    <w:p>
      <w:pPr>
        <w:snapToGrid w:val="0"/>
        <w:spacing w:line="360" w:lineRule="auto"/>
        <w:rPr>
          <w:rFonts w:ascii="仿宋_GB2312" w:hAnsi="宋体" w:eastAsia="仿宋_GB2312"/>
          <w:b/>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附被授权人代理人身份证复印件</w:t>
      </w:r>
    </w:p>
    <w:p>
      <w:pPr>
        <w:rPr>
          <w:color w:val="000000" w:themeColor="text1"/>
          <w14:textFill>
            <w14:solidFill>
              <w14:schemeClr w14:val="tx1"/>
            </w14:solidFill>
          </w14:textFill>
        </w:rPr>
        <w:sectPr>
          <w:pgSz w:w="11900" w:h="16840"/>
          <w:pgMar w:top="1417" w:right="1417" w:bottom="1417" w:left="1417" w:header="851" w:footer="992" w:gutter="0"/>
          <w:cols w:space="720" w:num="1"/>
          <w:docGrid w:type="lines" w:linePitch="312" w:charSpace="0"/>
        </w:sectPr>
      </w:pP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3、营业执照</w:t>
      </w:r>
    </w:p>
    <w:p>
      <w:pPr>
        <w:jc w:val="center"/>
        <w:rPr>
          <w:rFonts w:ascii="宋体" w:hAnsi="宋体"/>
          <w:b/>
          <w:color w:val="000000" w:themeColor="text1"/>
          <w:sz w:val="28"/>
          <w:szCs w:val="28"/>
          <w14:textFill>
            <w14:solidFill>
              <w14:schemeClr w14:val="tx1"/>
            </w14:solidFill>
          </w14:textFill>
        </w:rPr>
        <w:sectPr>
          <w:pgSz w:w="11900" w:h="16840"/>
          <w:pgMar w:top="1417" w:right="1417" w:bottom="1417" w:left="1417" w:header="851" w:footer="992" w:gutter="0"/>
          <w:cols w:space="720" w:num="1"/>
          <w:docGrid w:type="lines" w:linePitch="312" w:charSpace="0"/>
        </w:sectPr>
      </w:pPr>
      <w:r>
        <w:rPr>
          <w:rFonts w:hint="eastAsia" w:ascii="宋体" w:hAnsi="宋体"/>
          <w:b/>
          <w:color w:val="000000" w:themeColor="text1"/>
          <w:sz w:val="28"/>
          <w:szCs w:val="28"/>
          <w14:textFill>
            <w14:solidFill>
              <w14:schemeClr w14:val="tx1"/>
            </w14:solidFill>
          </w14:textFill>
        </w:rPr>
        <w:t>（格式自拟，加盖鲜章）</w:t>
      </w:r>
    </w:p>
    <w:p>
      <w:pPr>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、其他</w:t>
      </w:r>
      <w:r>
        <w:rPr>
          <w:rFonts w:hint="eastAsia" w:asciiTheme="minorEastAsia" w:hAnsiTheme="minorEastAsia" w:eastAsiaTheme="minorEastAsia"/>
          <w:b/>
          <w:color w:val="000000" w:themeColor="text1"/>
          <w:sz w:val="28"/>
          <w:szCs w:val="28"/>
          <w14:textFill>
            <w14:solidFill>
              <w14:schemeClr w14:val="tx1"/>
            </w14:solidFill>
          </w14:textFill>
        </w:rPr>
        <w:t>响应文件</w:t>
      </w:r>
    </w:p>
    <w:p>
      <w:pPr>
        <w:ind w:firstLine="562" w:firstLineChars="200"/>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（若有，格式自拟，加盖鲜公章）</w:t>
      </w:r>
    </w:p>
    <w:p>
      <w:pPr>
        <w:pStyle w:val="5"/>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附件</w:t>
      </w:r>
      <w:r>
        <w:rPr>
          <w:rFonts w:ascii="仿宋_GB2312" w:hAnsi="仿宋_GB2312" w:eastAsia="仿宋_GB2312"/>
          <w:b/>
          <w:bCs/>
          <w:color w:val="000000" w:themeColor="text1"/>
          <w:sz w:val="28"/>
          <w:szCs w:val="28"/>
          <w14:textFill>
            <w14:solidFill>
              <w14:schemeClr w14:val="tx1"/>
            </w14:solidFill>
          </w14:textFill>
        </w:rPr>
        <w:t>2</w:t>
      </w:r>
      <w:r>
        <w:rPr>
          <w:rFonts w:hint="eastAsia" w:ascii="仿宋_GB2312" w:hAnsi="仿宋_GB2312" w:eastAsia="仿宋_GB2312"/>
          <w:b/>
          <w:bCs/>
          <w:color w:val="000000" w:themeColor="text1"/>
          <w:sz w:val="28"/>
          <w:szCs w:val="28"/>
          <w14:textFill>
            <w14:solidFill>
              <w14:schemeClr w14:val="tx1"/>
            </w14:solidFill>
          </w14:textFill>
        </w:rPr>
        <w:t>：</w:t>
      </w: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sectPr>
          <w:pgSz w:w="11900" w:h="16840"/>
          <w:pgMar w:top="1417" w:right="1417" w:bottom="1417" w:left="1417" w:header="851" w:footer="992" w:gutter="0"/>
          <w:cols w:space="720" w:num="1"/>
          <w:docGrid w:type="lines" w:linePitch="312" w:charSpace="0"/>
        </w:sectPr>
      </w:pPr>
      <w:r>
        <w:rPr>
          <w:rFonts w:hint="eastAsia" w:asciiTheme="minorEastAsia" w:hAnsiTheme="minorEastAsia" w:eastAsiaTheme="minorEastAsia"/>
          <w:b/>
          <w:bCs/>
          <w:color w:val="000000" w:themeColor="text1"/>
          <w:sz w:val="52"/>
          <w:szCs w:val="52"/>
          <w14:textFill>
            <w14:solidFill>
              <w14:schemeClr w14:val="tx1"/>
            </w14:solidFill>
          </w14:textFill>
        </w:rPr>
        <w:t>报 价 部 分</w:t>
      </w:r>
    </w:p>
    <w:p>
      <w:pPr>
        <w:snapToGrid w:val="0"/>
        <w:spacing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报价函及声明</w:t>
      </w:r>
    </w:p>
    <w:p>
      <w:pPr>
        <w:spacing w:line="56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重庆机场集团有限公司：</w:t>
      </w:r>
    </w:p>
    <w:p>
      <w:pPr>
        <w:tabs>
          <w:tab w:val="left" w:pos="2090"/>
          <w:tab w:val="left" w:pos="3520"/>
          <w:tab w:val="left" w:pos="5715"/>
          <w:tab w:val="left" w:pos="6945"/>
          <w:tab w:val="left" w:pos="7980"/>
        </w:tabs>
        <w:autoSpaceDE w:val="0"/>
        <w:autoSpaceDN w:val="0"/>
        <w:adjustRightInd w:val="0"/>
        <w:spacing w:line="560" w:lineRule="exact"/>
        <w:ind w:left="120" w:leftChars="57" w:right="94"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1．我方已仔细研究了</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（项目名称）</w:t>
      </w:r>
      <w:r>
        <w:rPr>
          <w:rFonts w:hint="eastAsia" w:ascii="仿宋" w:hAnsi="仿宋" w:eastAsia="仿宋" w:cs="仿宋"/>
          <w:color w:val="000000" w:themeColor="text1"/>
          <w:sz w:val="28"/>
          <w:szCs w:val="28"/>
          <w14:textFill>
            <w14:solidFill>
              <w14:schemeClr w14:val="tx1"/>
            </w14:solidFill>
          </w14:textFill>
        </w:rPr>
        <w:t>项目比选文件的全部内容，愿意以人民币</w:t>
      </w:r>
      <w:r>
        <w:rPr>
          <w:rFonts w:hint="eastAsia" w:ascii="仿宋" w:hAnsi="仿宋" w:eastAsia="仿宋" w:cs="仿宋"/>
          <w:color w:val="000000" w:themeColor="text1"/>
          <w:sz w:val="28"/>
          <w:szCs w:val="28"/>
          <w:u w:val="single"/>
          <w14:textFill>
            <w14:solidFill>
              <w14:schemeClr w14:val="tx1"/>
            </w14:solidFill>
          </w14:textFill>
        </w:rPr>
        <w:t xml:space="preserve">（大写）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元（¥</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）不</w:t>
      </w:r>
      <w:r>
        <w:rPr>
          <w:rFonts w:hint="eastAsia" w:ascii="仿宋" w:hAnsi="仿宋" w:eastAsia="仿宋" w:cs="仿宋"/>
          <w:color w:val="000000" w:themeColor="text1"/>
          <w:sz w:val="28"/>
          <w:szCs w:val="28"/>
          <w14:textFill>
            <w14:solidFill>
              <w14:schemeClr w14:val="tx1"/>
            </w14:solidFill>
          </w14:textFill>
        </w:rPr>
        <w:t>含增值税税额的费用报价，工期</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日历天，两年质保期满后，每年维保费用为人民币（大写）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line="560" w:lineRule="exact"/>
        <w:ind w:right="-20"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2．我方承诺在比选有效期内不修改、撤销比选文件。</w:t>
      </w:r>
    </w:p>
    <w:p>
      <w:pPr>
        <w:autoSpaceDE w:val="0"/>
        <w:autoSpaceDN w:val="0"/>
        <w:adjustRightInd w:val="0"/>
        <w:spacing w:line="560" w:lineRule="exact"/>
        <w:ind w:right="-20"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3．如我方成交：</w:t>
      </w:r>
    </w:p>
    <w:p>
      <w:pPr>
        <w:autoSpaceDE w:val="0"/>
        <w:autoSpaceDN w:val="0"/>
        <w:adjustRightInd w:val="0"/>
        <w:spacing w:line="560" w:lineRule="exact"/>
        <w:ind w:right="-80"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（1）我方承诺在收到成交通知后，在规定的期限内与你方签订合同。</w:t>
      </w:r>
    </w:p>
    <w:p>
      <w:pPr>
        <w:autoSpaceDE w:val="0"/>
        <w:autoSpaceDN w:val="0"/>
        <w:adjustRightInd w:val="0"/>
        <w:spacing w:line="560" w:lineRule="exact"/>
        <w:ind w:right="-20"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（2）随同本报价函递交的报价函附录属于合同文件的组成部分。</w:t>
      </w:r>
    </w:p>
    <w:p>
      <w:pPr>
        <w:autoSpaceDE w:val="0"/>
        <w:autoSpaceDN w:val="0"/>
        <w:adjustRightInd w:val="0"/>
        <w:spacing w:line="560" w:lineRule="exact"/>
        <w:ind w:right="-20"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（3）我方承诺在合同约定的期限内完成并移交全部合同项目和成果。</w:t>
      </w:r>
    </w:p>
    <w:p>
      <w:pPr>
        <w:autoSpaceDE w:val="0"/>
        <w:autoSpaceDN w:val="0"/>
        <w:adjustRightInd w:val="0"/>
        <w:spacing w:line="560" w:lineRule="exact"/>
        <w:ind w:right="-9"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4．我方在此声明，所递交的比选文件及有关资料内容完整、真实和准确。</w:t>
      </w:r>
    </w:p>
    <w:p>
      <w:pPr>
        <w:autoSpaceDE w:val="0"/>
        <w:autoSpaceDN w:val="0"/>
        <w:adjustRightInd w:val="0"/>
        <w:spacing w:line="560" w:lineRule="exact"/>
        <w:ind w:right="-9"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比选人：</w:t>
      </w:r>
      <w:r>
        <w:rPr>
          <w:rFonts w:hint="eastAsia" w:ascii="仿宋" w:hAnsi="仿宋" w:eastAsia="仿宋" w:cs="仿宋"/>
          <w:color w:val="000000" w:themeColor="text1"/>
          <w:sz w:val="28"/>
          <w:szCs w:val="28"/>
          <w:u w:val="single"/>
          <w14:textFill>
            <w14:solidFill>
              <w14:schemeClr w14:val="tx1"/>
            </w14:solidFill>
          </w14:textFill>
        </w:rPr>
        <w:t xml:space="preserve">                                 （盖单位公章） </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法定代表人或其委托代理人</w:t>
      </w:r>
      <w:r>
        <w:rPr>
          <w:rFonts w:hint="eastAsia" w:ascii="仿宋" w:hAnsi="仿宋" w:eastAsia="仿宋" w:cs="仿宋"/>
          <w:color w:val="000000" w:themeColor="text1"/>
          <w:sz w:val="28"/>
          <w:szCs w:val="28"/>
          <w:u w:val="single"/>
          <w14:textFill>
            <w14:solidFill>
              <w14:schemeClr w14:val="tx1"/>
            </w14:solidFill>
          </w14:textFill>
        </w:rPr>
        <w:t>：                   （签字）</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r>
        <w:rPr>
          <w:rFonts w:hint="eastAsia" w:ascii="仿宋" w:hAnsi="仿宋" w:eastAsia="仿宋" w:cs="仿宋"/>
          <w:color w:val="000000" w:themeColor="text1"/>
          <w:sz w:val="28"/>
          <w:szCs w:val="28"/>
          <w:u w:val="single"/>
          <w14:textFill>
            <w14:solidFill>
              <w14:schemeClr w14:val="tx1"/>
            </w14:solidFill>
          </w14:textFill>
        </w:rPr>
        <w:tab/>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网址</w:t>
      </w:r>
      <w:r>
        <w:rPr>
          <w:rFonts w:hint="eastAsia" w:ascii="仿宋" w:hAnsi="仿宋" w:eastAsia="仿宋" w:cs="仿宋"/>
          <w:color w:val="000000" w:themeColor="text1"/>
          <w:sz w:val="28"/>
          <w:szCs w:val="28"/>
          <w:u w:val="single"/>
          <w14:textFill>
            <w14:solidFill>
              <w14:schemeClr w14:val="tx1"/>
            </w14:solidFill>
          </w14:textFill>
        </w:rPr>
        <w:t>：  　　　　　　　　　　　　　　</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电话</w:t>
      </w:r>
      <w:r>
        <w:rPr>
          <w:rFonts w:hint="eastAsia" w:ascii="仿宋" w:hAnsi="仿宋" w:eastAsia="仿宋" w:cs="仿宋"/>
          <w:color w:val="000000" w:themeColor="text1"/>
          <w:sz w:val="28"/>
          <w:szCs w:val="28"/>
          <w:u w:val="single"/>
          <w14:textFill>
            <w14:solidFill>
              <w14:schemeClr w14:val="tx1"/>
            </w14:solidFill>
          </w14:textFill>
        </w:rPr>
        <w:t>： 　　　　　　　　　　　　　　</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传真：</w:t>
      </w:r>
      <w:r>
        <w:rPr>
          <w:rFonts w:hint="eastAsia" w:ascii="仿宋" w:hAnsi="仿宋" w:eastAsia="仿宋" w:cs="仿宋"/>
          <w:color w:val="000000" w:themeColor="text1"/>
          <w:sz w:val="28"/>
          <w:szCs w:val="28"/>
          <w:u w:val="single"/>
          <w14:textFill>
            <w14:solidFill>
              <w14:schemeClr w14:val="tx1"/>
            </w14:solidFill>
          </w14:textFill>
        </w:rPr>
        <w:t xml:space="preserve"> 　　　　　　　　　　　　　　</w:t>
      </w:r>
    </w:p>
    <w:p>
      <w:pPr>
        <w:tabs>
          <w:tab w:val="left" w:pos="6000"/>
          <w:tab w:val="left" w:pos="7040"/>
          <w:tab w:val="left" w:pos="8100"/>
        </w:tabs>
        <w:autoSpaceDE w:val="0"/>
        <w:autoSpaceDN w:val="0"/>
        <w:adjustRightInd w:val="0"/>
        <w:spacing w:line="560" w:lineRule="exact"/>
        <w:ind w:right="-20" w:firstLine="6720" w:firstLineChars="2400"/>
        <w:jc w:val="left"/>
        <w:rPr>
          <w:rFonts w:ascii="仿宋" w:hAnsi="仿宋" w:eastAsia="仿宋" w:cs="仿宋"/>
          <w:color w:val="000000" w:themeColor="text1"/>
          <w:sz w:val="28"/>
          <w:szCs w:val="28"/>
          <w14:textFill>
            <w14:solidFill>
              <w14:schemeClr w14:val="tx1"/>
            </w14:solidFill>
          </w14:textFill>
        </w:rPr>
      </w:pPr>
    </w:p>
    <w:p>
      <w:pPr>
        <w:tabs>
          <w:tab w:val="left" w:pos="6000"/>
          <w:tab w:val="left" w:pos="7040"/>
          <w:tab w:val="left" w:pos="8100"/>
        </w:tabs>
        <w:autoSpaceDE w:val="0"/>
        <w:autoSpaceDN w:val="0"/>
        <w:adjustRightInd w:val="0"/>
        <w:spacing w:line="560" w:lineRule="exact"/>
        <w:ind w:right="-20" w:firstLine="6720" w:firstLineChars="24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p>
      <w:pPr>
        <w:rPr>
          <w:rFonts w:ascii="仿宋" w:hAnsi="仿宋" w:eastAsia="仿宋" w:cs="仿宋"/>
          <w:color w:val="000000" w:themeColor="text1"/>
          <w14:textFill>
            <w14:solidFill>
              <w14:schemeClr w14:val="tx1"/>
            </w14:solidFill>
          </w14:textFill>
        </w:rPr>
        <w:sectPr>
          <w:pgSz w:w="11900" w:h="16840"/>
          <w:pgMar w:top="1417" w:right="1417" w:bottom="1417" w:left="1417" w:header="851" w:footer="992" w:gutter="0"/>
          <w:cols w:space="720" w:num="1"/>
          <w:docGrid w:type="lines" w:linePitch="312" w:charSpace="0"/>
        </w:sectPr>
      </w:pPr>
    </w:p>
    <w:p>
      <w:pPr>
        <w:rPr>
          <w:rFonts w:ascii="黑体" w:hAnsi="黑体" w:eastAsia="黑体" w:cs="黑体"/>
          <w:color w:val="000000" w:themeColor="text1"/>
          <w14:textFill>
            <w14:solidFill>
              <w14:schemeClr w14:val="tx1"/>
            </w14:solidFill>
          </w14:textFill>
        </w:rPr>
      </w:pPr>
    </w:p>
    <w:p>
      <w:pPr>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附件</w:t>
      </w:r>
      <w:r>
        <w:rPr>
          <w:rFonts w:ascii="仿宋_GB2312" w:hAnsi="仿宋_GB2312" w:eastAsia="仿宋_GB2312"/>
          <w:b/>
          <w:bCs/>
          <w:color w:val="000000" w:themeColor="text1"/>
          <w:sz w:val="28"/>
          <w:szCs w:val="28"/>
          <w14:textFill>
            <w14:solidFill>
              <w14:schemeClr w14:val="tx1"/>
            </w14:solidFill>
          </w14:textFill>
        </w:rPr>
        <w:t>3</w:t>
      </w:r>
      <w:r>
        <w:rPr>
          <w:rFonts w:hint="eastAsia" w:ascii="仿宋_GB2312" w:hAnsi="仿宋_GB2312" w:eastAsia="仿宋_GB2312"/>
          <w:b/>
          <w:bCs/>
          <w:color w:val="000000" w:themeColor="text1"/>
          <w:sz w:val="28"/>
          <w:szCs w:val="28"/>
          <w14:textFill>
            <w14:solidFill>
              <w14:schemeClr w14:val="tx1"/>
            </w14:solidFill>
          </w14:textFill>
        </w:rPr>
        <w:t>：</w:t>
      </w: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pPr>
    </w:p>
    <w:p>
      <w:pPr>
        <w:pStyle w:val="4"/>
        <w:jc w:val="center"/>
        <w:rPr>
          <w:rFonts w:asciiTheme="minorEastAsia" w:hAnsiTheme="minorEastAsia" w:eastAsiaTheme="minorEastAsia"/>
          <w:b/>
          <w:bCs/>
          <w:color w:val="000000" w:themeColor="text1"/>
          <w:szCs w:val="32"/>
          <w14:textFill>
            <w14:solidFill>
              <w14:schemeClr w14:val="tx1"/>
            </w14:solidFill>
          </w14:textFill>
        </w:rPr>
        <w:sectPr>
          <w:pgSz w:w="11900" w:h="16840"/>
          <w:pgMar w:top="1417" w:right="1417" w:bottom="1417" w:left="1417" w:header="851" w:footer="992" w:gutter="0"/>
          <w:cols w:space="720" w:num="1"/>
          <w:docGrid w:type="lines" w:linePitch="312" w:charSpace="0"/>
        </w:sectPr>
      </w:pPr>
      <w:r>
        <w:rPr>
          <w:rFonts w:hint="eastAsia" w:asciiTheme="minorEastAsia" w:hAnsiTheme="minorEastAsia" w:eastAsiaTheme="minorEastAsia"/>
          <w:b/>
          <w:bCs/>
          <w:color w:val="000000" w:themeColor="text1"/>
          <w:sz w:val="52"/>
          <w:szCs w:val="52"/>
          <w14:textFill>
            <w14:solidFill>
              <w14:schemeClr w14:val="tx1"/>
            </w14:solidFill>
          </w14:textFill>
        </w:rPr>
        <w:t>技 术 部 分</w:t>
      </w:r>
    </w:p>
    <w:p>
      <w:pPr>
        <w:pStyle w:val="2"/>
        <w:rPr>
          <w:rFonts w:asciiTheme="minorEastAsia" w:hAnsiTheme="minorEastAsia" w:eastAsiaTheme="minorEastAsia"/>
          <w:color w:val="000000" w:themeColor="text1"/>
          <w:sz w:val="28"/>
          <w:szCs w:val="28"/>
          <w14:textFill>
            <w14:solidFill>
              <w14:schemeClr w14:val="tx1"/>
            </w14:solidFill>
          </w14:textFill>
        </w:rPr>
        <w:sectPr>
          <w:pgSz w:w="11900" w:h="16840"/>
          <w:pgMar w:top="1417" w:right="1417" w:bottom="1417" w:left="1417" w:header="851" w:footer="992" w:gutter="0"/>
          <w:cols w:space="720" w:num="1"/>
          <w:docGrid w:type="lines" w:linePitch="312" w:charSpace="0"/>
        </w:sectPr>
      </w:pPr>
      <w:r>
        <w:rPr>
          <w:rFonts w:hint="eastAsia" w:asciiTheme="minorEastAsia" w:hAnsiTheme="minorEastAsia" w:eastAsiaTheme="minorEastAsia"/>
          <w:color w:val="000000" w:themeColor="text1"/>
          <w:sz w:val="28"/>
          <w:szCs w:val="28"/>
          <w14:textFill>
            <w14:solidFill>
              <w14:schemeClr w14:val="tx1"/>
            </w14:solidFill>
          </w14:textFill>
        </w:rPr>
        <w:t>技术方案，格式自拟，加盖公章</w:t>
      </w:r>
    </w:p>
    <w:p>
      <w:pPr>
        <w:widowControl/>
        <w:jc w:val="left"/>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附件</w:t>
      </w:r>
      <w:r>
        <w:rPr>
          <w:rFonts w:ascii="仿宋_GB2312" w:hAnsi="仿宋_GB2312" w:eastAsia="仿宋_GB2312"/>
          <w:b/>
          <w:bCs/>
          <w:color w:val="000000" w:themeColor="text1"/>
          <w:sz w:val="28"/>
          <w:szCs w:val="28"/>
          <w14:textFill>
            <w14:solidFill>
              <w14:schemeClr w14:val="tx1"/>
            </w14:solidFill>
          </w14:textFill>
        </w:rPr>
        <w:t>4</w:t>
      </w:r>
      <w:r>
        <w:rPr>
          <w:rFonts w:hint="eastAsia" w:ascii="仿宋_GB2312" w:hAnsi="仿宋_GB2312" w:eastAsia="仿宋_GB2312"/>
          <w:b/>
          <w:bCs/>
          <w:color w:val="000000" w:themeColor="text1"/>
          <w:sz w:val="28"/>
          <w:szCs w:val="28"/>
          <w14:textFill>
            <w14:solidFill>
              <w14:schemeClr w14:val="tx1"/>
            </w14:solidFill>
          </w14:textFill>
        </w:rPr>
        <w:t>：</w:t>
      </w:r>
    </w:p>
    <w:p>
      <w:pPr>
        <w:rPr>
          <w:rFonts w:ascii="黑体" w:eastAsia="黑体"/>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wordWrap w:val="0"/>
        <w:spacing w:after="156" w:afterLines="50"/>
        <w:ind w:right="964" w:firstLine="480" w:firstLineChars="200"/>
        <w:jc w:val="right"/>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 xml:space="preserve">合同编号：CQA    </w:t>
      </w:r>
    </w:p>
    <w:p>
      <w:pPr>
        <w:spacing w:after="156" w:afterLines="50"/>
        <w:ind w:firstLine="422" w:firstLineChars="200"/>
        <w:jc w:val="center"/>
        <w:rPr>
          <w:rFonts w:ascii="仿宋" w:hAnsi="仿宋" w:eastAsia="仿宋"/>
          <w:b/>
          <w:color w:val="000000" w:themeColor="text1"/>
          <w14:textFill>
            <w14:solidFill>
              <w14:schemeClr w14:val="tx1"/>
            </w14:solidFill>
          </w14:textFill>
        </w:rPr>
      </w:pPr>
    </w:p>
    <w:p>
      <w:pPr>
        <w:snapToGrid w:val="0"/>
        <w:spacing w:before="100" w:beforeAutospacing="1" w:after="100" w:afterAutospacing="1" w:line="360" w:lineRule="auto"/>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line="360" w:lineRule="auto"/>
        <w:jc w:val="center"/>
        <w:rPr>
          <w:rFonts w:ascii="宋体" w:hAnsi="宋体" w:cs="Calibri"/>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60288;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3vUdQAAAAJAQAA&#10;DwAAAAAAAAABACAAAAAiAAAAZHJzL2Rvd25yZXYueG1sUEsBAhQAFAAAAAgAh07iQKxQs4X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line="360" w:lineRule="auto"/>
        <w:jc w:val="center"/>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重庆江北国际机场</w:t>
      </w:r>
    </w:p>
    <w:p>
      <w:pPr>
        <w:snapToGrid w:val="0"/>
        <w:spacing w:before="100" w:beforeAutospacing="1" w:after="100" w:afterAutospacing="1" w:line="360" w:lineRule="auto"/>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综合服务平台</w:t>
      </w:r>
      <w:r>
        <w:rPr>
          <w:rFonts w:hint="eastAsia" w:ascii="黑体" w:hAnsi="黑体" w:eastAsia="黑体"/>
          <w:color w:val="000000" w:themeColor="text1"/>
          <w:sz w:val="52"/>
          <w:szCs w:val="52"/>
          <w:lang w:val="en-US" w:eastAsia="zh-CN"/>
          <w14:textFill>
            <w14:solidFill>
              <w14:schemeClr w14:val="tx1"/>
            </w14:solidFill>
          </w14:textFill>
        </w:rPr>
        <w:t>系统升级</w:t>
      </w:r>
      <w:r>
        <w:rPr>
          <w:rFonts w:hint="eastAsia" w:ascii="黑体" w:hAnsi="黑体" w:eastAsia="黑体"/>
          <w:color w:val="000000" w:themeColor="text1"/>
          <w:sz w:val="52"/>
          <w:szCs w:val="52"/>
          <w14:textFill>
            <w14:solidFill>
              <w14:schemeClr w14:val="tx1"/>
            </w14:solidFill>
          </w14:textFill>
        </w:rPr>
        <w:t>项目合同</w:t>
      </w:r>
    </w:p>
    <w:p>
      <w:pPr>
        <w:snapToGrid w:val="0"/>
        <w:spacing w:before="100" w:beforeAutospacing="1" w:after="100" w:afterAutospacing="1" w:line="360" w:lineRule="auto"/>
        <w:rPr>
          <w:rFonts w:ascii="宋体" w:hAnsi="宋体"/>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1312;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line="360" w:lineRule="auto"/>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line="360" w:lineRule="auto"/>
        <w:ind w:firstLine="2100" w:firstLineChars="7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甲方：重庆江北国际机场有限公司</w:t>
      </w:r>
    </w:p>
    <w:p>
      <w:pPr>
        <w:snapToGrid w:val="0"/>
        <w:spacing w:line="360" w:lineRule="auto"/>
        <w:rPr>
          <w:rFonts w:ascii="黑体" w:hAnsi="黑体" w:eastAsia="黑体" w:cs="宋体"/>
          <w:b/>
          <w:bCs/>
          <w:color w:val="000000" w:themeColor="text1"/>
          <w:sz w:val="30"/>
          <w:szCs w:val="30"/>
          <w:u w:val="single"/>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 xml:space="preserve">              乙方：</w:t>
      </w:r>
    </w:p>
    <w:p>
      <w:pPr>
        <w:spacing w:line="520" w:lineRule="exact"/>
        <w:jc w:val="center"/>
        <w:rPr>
          <w:rFonts w:ascii="黑体" w:hAnsi="黑体" w:eastAsia="黑体"/>
          <w:b/>
          <w:bCs/>
          <w:color w:val="000000" w:themeColor="text1"/>
          <w:sz w:val="32"/>
          <w:szCs w:val="32"/>
          <w14:textFill>
            <w14:solidFill>
              <w14:schemeClr w14:val="tx1"/>
            </w14:solidFill>
          </w14:textFill>
        </w:rPr>
      </w:pPr>
    </w:p>
    <w:p>
      <w:pPr>
        <w:widowControl/>
        <w:jc w:val="left"/>
        <w:rPr>
          <w:rFonts w:ascii="黑体" w:hAnsi="黑体" w:eastAsia="黑体"/>
          <w:b/>
          <w:bCs/>
          <w:color w:val="000000" w:themeColor="text1"/>
          <w:sz w:val="32"/>
          <w:szCs w:val="32"/>
          <w14:textFill>
            <w14:solidFill>
              <w14:schemeClr w14:val="tx1"/>
            </w14:solidFill>
          </w14:textFill>
        </w:rPr>
        <w:sectPr>
          <w:pgSz w:w="11900" w:h="16840"/>
          <w:pgMar w:top="1417" w:right="1417" w:bottom="1417" w:left="1417" w:header="851" w:footer="992" w:gutter="0"/>
          <w:cols w:space="720" w:num="1"/>
          <w:docGrid w:type="lines" w:linePitch="312" w:charSpace="0"/>
        </w:sectPr>
      </w:pP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甲方：重庆江北国际机场有限公司</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统一社会信用代码：91500</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112</w:t>
      </w:r>
      <w:r>
        <w:rPr>
          <w:rFonts w:ascii="仿宋" w:eastAsia="仿宋"/>
          <w:color w:val="000000" w:themeColor="text1"/>
          <w:sz w:val="24"/>
          <w:szCs w:val="24"/>
          <w:lang w:eastAsia="zh-CN"/>
          <w14:textFill>
            <w14:solidFill>
              <w14:schemeClr w14:val="tx1"/>
            </w14:solidFill>
          </w14:textFill>
        </w:rPr>
        <w:t xml:space="preserve">MA </w:t>
      </w:r>
      <w:r>
        <w:rPr>
          <w:rFonts w:hint="eastAsia" w:ascii="仿宋" w:eastAsia="仿宋"/>
          <w:color w:val="000000" w:themeColor="text1"/>
          <w:sz w:val="24"/>
          <w:szCs w:val="24"/>
          <w:lang w:eastAsia="zh-CN"/>
          <w14:textFill>
            <w14:solidFill>
              <w14:schemeClr w14:val="tx1"/>
            </w14:solidFill>
          </w14:textFill>
        </w:rPr>
        <w:t>5</w:t>
      </w:r>
      <w:r>
        <w:rPr>
          <w:rFonts w:ascii="仿宋" w:eastAsia="仿宋"/>
          <w:color w:val="000000" w:themeColor="text1"/>
          <w:sz w:val="24"/>
          <w:szCs w:val="24"/>
          <w:lang w:eastAsia="zh-CN"/>
          <w14:textFill>
            <w14:solidFill>
              <w14:schemeClr w14:val="tx1"/>
            </w14:solidFill>
          </w14:textFill>
        </w:rPr>
        <w:t>U</w:t>
      </w:r>
      <w:r>
        <w:rPr>
          <w:rFonts w:hint="eastAsia" w:ascii="仿宋" w:eastAsia="仿宋"/>
          <w:color w:val="000000" w:themeColor="text1"/>
          <w:sz w:val="24"/>
          <w:szCs w:val="24"/>
          <w:lang w:eastAsia="zh-CN"/>
          <w14:textFill>
            <w14:solidFill>
              <w14:schemeClr w14:val="tx1"/>
            </w14:solidFill>
          </w14:textFill>
        </w:rPr>
        <w:t>9</w:t>
      </w:r>
      <w:r>
        <w:rPr>
          <w:rFonts w:ascii="仿宋" w:eastAsia="仿宋"/>
          <w:color w:val="000000" w:themeColor="text1"/>
          <w:sz w:val="24"/>
          <w:szCs w:val="24"/>
          <w:lang w:eastAsia="zh-CN"/>
          <w14:textFill>
            <w14:solidFill>
              <w14:schemeClr w14:val="tx1"/>
            </w14:solidFill>
          </w14:textFill>
        </w:rPr>
        <w:t>Q0 03T</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通讯地址：重庆市渝北区机场西路26号</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法定代表人或委托代理人： 陈驰</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联系电话：023-67152518</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邮箱地址：</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 xml:space="preserve">开户银行：中国建设银行股份有限公司重庆渝北机场支行 </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开户名称：重庆江北国际机场有限公司</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账号：5005</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0108</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3800</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0000</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0060</w:t>
      </w:r>
    </w:p>
    <w:p>
      <w:pPr>
        <w:pStyle w:val="21"/>
        <w:ind w:firstLine="480"/>
        <w:rPr>
          <w:rFonts w:ascii="仿宋" w:eastAsia="仿宋"/>
          <w:color w:val="000000" w:themeColor="text1"/>
          <w:sz w:val="24"/>
          <w:szCs w:val="24"/>
          <w:lang w:eastAsia="zh-CN"/>
          <w14:textFill>
            <w14:solidFill>
              <w14:schemeClr w14:val="tx1"/>
            </w14:solidFill>
          </w14:textFill>
        </w:rPr>
      </w:pP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乙方：</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统一社会信用代码：</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通讯地址：</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 xml:space="preserve">法定代表人或委托代理人： </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联系电话：</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邮箱地址：</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 xml:space="preserve">开户银行： </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开户名称：</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账号：</w:t>
      </w:r>
    </w:p>
    <w:p>
      <w:pPr>
        <w:pStyle w:val="21"/>
        <w:ind w:firstLine="480"/>
        <w:rPr>
          <w:color w:val="000000" w:themeColor="text1"/>
          <w:sz w:val="24"/>
          <w:szCs w:val="24"/>
          <w:lang w:eastAsia="zh-CN"/>
          <w14:textFill>
            <w14:solidFill>
              <w14:schemeClr w14:val="tx1"/>
            </w14:solidFill>
          </w14:textFill>
        </w:rPr>
      </w:pPr>
    </w:p>
    <w:p>
      <w:pPr>
        <w:pStyle w:val="21"/>
        <w:ind w:firstLine="480"/>
        <w:rPr>
          <w:color w:val="000000" w:themeColor="text1"/>
          <w:sz w:val="24"/>
          <w:szCs w:val="24"/>
          <w:lang w:eastAsia="zh-CN"/>
          <w14:textFill>
            <w14:solidFill>
              <w14:schemeClr w14:val="tx1"/>
            </w14:solidFill>
          </w14:textFill>
        </w:rPr>
      </w:pPr>
    </w:p>
    <w:p>
      <w:pPr>
        <w:pStyle w:val="21"/>
        <w:ind w:firstLine="480"/>
        <w:rPr>
          <w:color w:val="000000" w:themeColor="text1"/>
          <w:sz w:val="24"/>
          <w:szCs w:val="24"/>
          <w:lang w:eastAsia="zh-CN"/>
          <w14:textFill>
            <w14:solidFill>
              <w14:schemeClr w14:val="tx1"/>
            </w14:solidFill>
          </w14:textFill>
        </w:rPr>
      </w:pP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甲乙双方依照《中华人民共和国</w:t>
      </w:r>
      <w:r>
        <w:rPr>
          <w:rFonts w:hint="eastAsia" w:ascii="仿宋" w:eastAsia="仿宋"/>
          <w:color w:val="000000" w:themeColor="text1"/>
          <w:sz w:val="24"/>
          <w:szCs w:val="24"/>
          <w:lang w:eastAsia="zh-CN"/>
          <w14:textFill>
            <w14:solidFill>
              <w14:schemeClr w14:val="tx1"/>
            </w14:solidFill>
          </w14:textFill>
        </w:rPr>
        <w:t>民法典</w:t>
      </w:r>
      <w:r>
        <w:rPr>
          <w:rFonts w:ascii="仿宋" w:eastAsia="仿宋"/>
          <w:color w:val="000000" w:themeColor="text1"/>
          <w:sz w:val="24"/>
          <w:szCs w:val="24"/>
          <w:lang w:eastAsia="zh-CN"/>
          <w14:textFill>
            <w14:solidFill>
              <w14:schemeClr w14:val="tx1"/>
            </w14:solidFill>
          </w14:textFill>
        </w:rPr>
        <w:t>》及相关法律、法规规定，本着平等、自愿的原则，经友好协商，现就甲方向乙方购买</w:t>
      </w:r>
      <w:r>
        <w:rPr>
          <w:rFonts w:ascii="仿宋" w:eastAsia="仿宋"/>
          <w:color w:val="000000" w:themeColor="text1"/>
          <w:sz w:val="24"/>
          <w:szCs w:val="24"/>
          <w:u w:val="single"/>
          <w:lang w:eastAsia="zh-CN"/>
          <w14:textFill>
            <w14:solidFill>
              <w14:schemeClr w14:val="tx1"/>
            </w14:solidFill>
          </w14:textFill>
        </w:rPr>
        <w:t>综合服务中心系统</w:t>
      </w:r>
      <w:r>
        <w:rPr>
          <w:rFonts w:hint="eastAsia" w:ascii="仿宋" w:eastAsia="仿宋"/>
          <w:color w:val="000000" w:themeColor="text1"/>
          <w:sz w:val="24"/>
          <w:szCs w:val="24"/>
          <w:u w:val="single"/>
          <w:lang w:eastAsia="zh-CN"/>
          <w14:textFill>
            <w14:solidFill>
              <w14:schemeClr w14:val="tx1"/>
            </w14:solidFill>
          </w14:textFill>
        </w:rPr>
        <w:t>移动平台</w:t>
      </w:r>
      <w:r>
        <w:rPr>
          <w:rFonts w:ascii="仿宋" w:eastAsia="仿宋"/>
          <w:color w:val="000000" w:themeColor="text1"/>
          <w:sz w:val="24"/>
          <w:szCs w:val="24"/>
          <w:lang w:eastAsia="zh-CN"/>
          <w14:textFill>
            <w14:solidFill>
              <w14:schemeClr w14:val="tx1"/>
            </w14:solidFill>
          </w14:textFill>
        </w:rPr>
        <w:t>，（并安装，调试）事宜达成一致，签订本协议。</w:t>
      </w:r>
    </w:p>
    <w:p>
      <w:pPr>
        <w:pStyle w:val="4"/>
        <w:ind w:firstLine="640"/>
        <w:rPr>
          <w:rFonts w:ascii="仿宋" w:hAnsi="仿宋" w:eastAsia="仿宋"/>
          <w:color w:val="000000" w:themeColor="text1"/>
          <w:sz w:val="24"/>
          <w14:textFill>
            <w14:solidFill>
              <w14:schemeClr w14:val="tx1"/>
            </w14:solidFill>
          </w14:textFill>
        </w:rPr>
      </w:pPr>
      <w:bookmarkStart w:id="5" w:name="_Toc25588100"/>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一</w:t>
      </w:r>
      <w:r>
        <w:rPr>
          <w:rFonts w:ascii="仿宋" w:hAnsi="仿宋" w:eastAsia="仿宋"/>
          <w:color w:val="000000" w:themeColor="text1"/>
          <w:sz w:val="24"/>
          <w14:textFill>
            <w14:solidFill>
              <w14:schemeClr w14:val="tx1"/>
            </w14:solidFill>
          </w14:textFill>
        </w:rPr>
        <w:t>条 货</w:t>
      </w:r>
      <w:r>
        <w:rPr>
          <w:rFonts w:hint="eastAsia" w:ascii="仿宋" w:hAnsi="仿宋" w:eastAsia="仿宋"/>
          <w:color w:val="000000" w:themeColor="text1"/>
          <w:sz w:val="24"/>
          <w14:textFill>
            <w14:solidFill>
              <w14:schemeClr w14:val="tx1"/>
            </w14:solidFill>
          </w14:textFill>
        </w:rPr>
        <w:t>物</w:t>
      </w:r>
      <w:r>
        <w:rPr>
          <w:rFonts w:ascii="仿宋" w:hAnsi="仿宋" w:eastAsia="仿宋"/>
          <w:color w:val="000000" w:themeColor="text1"/>
          <w:sz w:val="24"/>
          <w14:textFill>
            <w14:solidFill>
              <w14:schemeClr w14:val="tx1"/>
            </w14:solidFill>
          </w14:textFill>
        </w:rPr>
        <w:t>名称、数量及规格</w:t>
      </w:r>
      <w:bookmarkEnd w:id="5"/>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1.1本合同项下乙方所供货物情况如下：</w:t>
      </w:r>
      <w:r>
        <w:rPr>
          <w:rFonts w:hint="eastAsia" w:ascii="仿宋" w:eastAsia="仿宋"/>
          <w:color w:val="000000" w:themeColor="text1"/>
          <w:sz w:val="24"/>
          <w:szCs w:val="24"/>
          <w:lang w:eastAsia="zh-CN"/>
          <w14:textFill>
            <w14:solidFill>
              <w14:schemeClr w14:val="tx1"/>
            </w14:solidFill>
          </w14:textFill>
        </w:rPr>
        <w:t>综合服务中心系统移动平台定制开发以及综合服务中心系统升级。</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1.2 正版服务器</w:t>
      </w:r>
      <w:r>
        <w:rPr>
          <w:rFonts w:hint="eastAsia" w:ascii="仿宋" w:eastAsia="仿宋"/>
          <w:color w:val="000000" w:themeColor="text1"/>
          <w:sz w:val="24"/>
          <w:szCs w:val="24"/>
          <w:lang w:eastAsia="zh-CN"/>
          <w14:textFill>
            <w14:solidFill>
              <w14:schemeClr w14:val="tx1"/>
            </w14:solidFill>
          </w14:textFill>
        </w:rPr>
        <w:t>操作系统</w:t>
      </w:r>
      <w:r>
        <w:rPr>
          <w:rFonts w:ascii="仿宋" w:eastAsia="仿宋"/>
          <w:color w:val="000000" w:themeColor="text1"/>
          <w:sz w:val="24"/>
          <w:szCs w:val="24"/>
          <w:lang w:eastAsia="zh-CN"/>
          <w14:textFill>
            <w14:solidFill>
              <w14:schemeClr w14:val="tx1"/>
            </w14:solidFill>
          </w14:textFill>
        </w:rPr>
        <w:t>。</w:t>
      </w:r>
    </w:p>
    <w:p>
      <w:pPr>
        <w:pStyle w:val="4"/>
        <w:ind w:firstLine="640"/>
        <w:rPr>
          <w:rFonts w:ascii="仿宋" w:hAnsi="仿宋" w:eastAsia="仿宋"/>
          <w:color w:val="000000" w:themeColor="text1"/>
          <w:sz w:val="24"/>
          <w14:textFill>
            <w14:solidFill>
              <w14:schemeClr w14:val="tx1"/>
            </w14:solidFill>
          </w14:textFill>
        </w:rPr>
      </w:pPr>
      <w:bookmarkStart w:id="6" w:name="_Toc25588101"/>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二</w:t>
      </w:r>
      <w:r>
        <w:rPr>
          <w:rFonts w:ascii="仿宋" w:hAnsi="仿宋" w:eastAsia="仿宋"/>
          <w:color w:val="000000" w:themeColor="text1"/>
          <w:sz w:val="24"/>
          <w14:textFill>
            <w14:solidFill>
              <w14:schemeClr w14:val="tx1"/>
            </w14:solidFill>
          </w14:textFill>
        </w:rPr>
        <w:t>条 合同价款</w:t>
      </w:r>
      <w:bookmarkEnd w:id="6"/>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2.1 合同金额</w:t>
      </w:r>
      <w:r>
        <w:rPr>
          <w:rFonts w:ascii="仿宋" w:eastAsia="仿宋"/>
          <w:b/>
          <w:bCs/>
          <w:color w:val="000000" w:themeColor="text1"/>
          <w:sz w:val="24"/>
          <w:szCs w:val="24"/>
          <w:u w:val="single"/>
          <w:lang w:eastAsia="zh-CN"/>
          <w14:textFill>
            <w14:solidFill>
              <w14:schemeClr w14:val="tx1"/>
            </w14:solidFill>
          </w14:textFill>
        </w:rPr>
        <w:t>（不含增值税）</w:t>
      </w:r>
      <w:r>
        <w:rPr>
          <w:rFonts w:ascii="仿宋" w:eastAsia="仿宋"/>
          <w:color w:val="000000" w:themeColor="text1"/>
          <w:sz w:val="24"/>
          <w:szCs w:val="24"/>
          <w:lang w:eastAsia="zh-CN"/>
          <w14:textFill>
            <w14:solidFill>
              <w14:schemeClr w14:val="tx1"/>
            </w14:solidFill>
          </w14:textFill>
        </w:rPr>
        <w:t>为人</w:t>
      </w:r>
      <w:r>
        <w:rPr>
          <w:rFonts w:hint="eastAsia" w:ascii="仿宋" w:eastAsia="仿宋"/>
          <w:color w:val="000000" w:themeColor="text1"/>
          <w:sz w:val="24"/>
          <w:szCs w:val="24"/>
          <w:lang w:eastAsia="zh-CN"/>
          <w14:textFill>
            <w14:solidFill>
              <w14:schemeClr w14:val="tx1"/>
            </w14:solidFill>
          </w14:textFill>
        </w:rPr>
        <w:t>民</w:t>
      </w:r>
      <w:r>
        <w:rPr>
          <w:rFonts w:ascii="仿宋" w:eastAsia="仿宋"/>
          <w:color w:val="000000" w:themeColor="text1"/>
          <w:sz w:val="24"/>
          <w:szCs w:val="24"/>
          <w:lang w:eastAsia="zh-CN"/>
          <w14:textFill>
            <w14:solidFill>
              <w14:schemeClr w14:val="tx1"/>
            </w14:solidFill>
          </w14:textFill>
        </w:rPr>
        <w:t>币</w:t>
      </w:r>
      <w:r>
        <w:rPr>
          <w:rFonts w:ascii="仿宋" w:eastAsia="仿宋"/>
          <w:color w:val="000000" w:themeColor="text1"/>
          <w:sz w:val="24"/>
          <w:szCs w:val="24"/>
          <w:u w:val="single"/>
          <w:lang w:eastAsia="zh-CN"/>
          <w14:textFill>
            <w14:solidFill>
              <w14:schemeClr w14:val="tx1"/>
            </w14:solidFill>
          </w14:textFill>
        </w:rPr>
        <w:t xml:space="preserve"> </w:t>
      </w:r>
      <w:r>
        <w:rPr>
          <w:rFonts w:ascii="Calibri" w:hAnsi="Calibri" w:eastAsia="仿宋" w:cs="Calibri"/>
          <w:color w:val="000000" w:themeColor="text1"/>
          <w:sz w:val="24"/>
          <w:szCs w:val="24"/>
          <w:u w:val="single"/>
          <w:lang w:eastAsia="zh-CN"/>
          <w14:textFill>
            <w14:solidFill>
              <w14:schemeClr w14:val="tx1"/>
            </w14:solidFill>
          </w14:textFill>
        </w:rPr>
        <w:t>   </w:t>
      </w:r>
      <w:r>
        <w:rPr>
          <w:rFonts w:ascii="仿宋" w:eastAsia="仿宋" w:cs="Calibri"/>
          <w:color w:val="000000" w:themeColor="text1"/>
          <w:sz w:val="24"/>
          <w:szCs w:val="24"/>
          <w:u w:val="single"/>
          <w:lang w:eastAsia="zh-CN"/>
          <w14:textFill>
            <w14:solidFill>
              <w14:schemeClr w14:val="tx1"/>
            </w14:solidFill>
          </w14:textFill>
        </w:rPr>
        <w:t xml:space="preserve">    </w:t>
      </w:r>
      <w:r>
        <w:rPr>
          <w:rFonts w:ascii="仿宋" w:eastAsia="仿宋"/>
          <w:color w:val="000000" w:themeColor="text1"/>
          <w:sz w:val="24"/>
          <w:szCs w:val="24"/>
          <w:u w:val="single"/>
          <w:lang w:eastAsia="zh-CN"/>
          <w14:textFill>
            <w14:solidFill>
              <w14:schemeClr w14:val="tx1"/>
            </w14:solidFill>
          </w14:textFill>
        </w:rPr>
        <w:t xml:space="preserve"> </w:t>
      </w:r>
      <w:r>
        <w:rPr>
          <w:rFonts w:ascii="Calibri" w:hAnsi="Calibri" w:eastAsia="仿宋" w:cs="Calibri"/>
          <w:color w:val="000000" w:themeColor="text1"/>
          <w:sz w:val="24"/>
          <w:szCs w:val="24"/>
          <w:u w:val="single"/>
          <w:lang w:eastAsia="zh-CN"/>
          <w14:textFill>
            <w14:solidFill>
              <w14:schemeClr w14:val="tx1"/>
            </w14:solidFill>
          </w14:textFill>
        </w:rPr>
        <w:t>  </w:t>
      </w:r>
      <w:r>
        <w:rPr>
          <w:rFonts w:ascii="仿宋" w:eastAsia="仿宋"/>
          <w:color w:val="000000" w:themeColor="text1"/>
          <w:sz w:val="24"/>
          <w:szCs w:val="24"/>
          <w:lang w:eastAsia="zh-CN"/>
          <w14:textFill>
            <w14:solidFill>
              <w14:schemeClr w14:val="tx1"/>
            </w14:solidFill>
          </w14:textFill>
        </w:rPr>
        <w:t>元整(大写</w:t>
      </w:r>
      <w:r>
        <w:rPr>
          <w:rFonts w:ascii="仿宋" w:eastAsia="仿宋" w:cs="Calibri"/>
          <w:color w:val="000000" w:themeColor="text1"/>
          <w:sz w:val="24"/>
          <w:szCs w:val="24"/>
          <w:u w:val="single"/>
          <w:lang w:eastAsia="zh-CN"/>
          <w14:textFill>
            <w14:solidFill>
              <w14:schemeClr w14:val="tx1"/>
            </w14:solidFill>
          </w14:textFill>
        </w:rPr>
        <w:t xml:space="preserve">  </w:t>
      </w:r>
      <w:r>
        <w:rPr>
          <w:rFonts w:ascii="仿宋" w:eastAsia="仿宋"/>
          <w:color w:val="000000" w:themeColor="text1"/>
          <w:sz w:val="24"/>
          <w:szCs w:val="24"/>
          <w:u w:val="single"/>
          <w:lang w:eastAsia="zh-CN"/>
          <w14:textFill>
            <w14:solidFill>
              <w14:schemeClr w14:val="tx1"/>
            </w14:solidFill>
          </w14:textFill>
        </w:rPr>
        <w:t xml:space="preserve"> </w:t>
      </w:r>
      <w:r>
        <w:rPr>
          <w:rFonts w:ascii="Calibri" w:hAnsi="Calibri" w:eastAsia="仿宋" w:cs="Calibri"/>
          <w:color w:val="000000" w:themeColor="text1"/>
          <w:sz w:val="24"/>
          <w:szCs w:val="24"/>
          <w:u w:val="single"/>
          <w:lang w:eastAsia="zh-CN"/>
          <w14:textFill>
            <w14:solidFill>
              <w14:schemeClr w14:val="tx1"/>
            </w14:solidFill>
          </w14:textFill>
        </w:rPr>
        <w:t>  </w:t>
      </w:r>
      <w:r>
        <w:rPr>
          <w:rFonts w:ascii="仿宋" w:eastAsia="仿宋"/>
          <w:color w:val="000000" w:themeColor="text1"/>
          <w:sz w:val="24"/>
          <w:szCs w:val="24"/>
          <w:lang w:eastAsia="zh-CN"/>
          <w14:textFill>
            <w14:solidFill>
              <w14:schemeClr w14:val="tx1"/>
            </w14:solidFill>
          </w14:textFill>
        </w:rPr>
        <w:t>元）；</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 xml:space="preserve">2.2 </w:t>
      </w:r>
      <w:r>
        <w:rPr>
          <w:rFonts w:hint="eastAsia" w:ascii="仿宋" w:eastAsia="仿宋"/>
          <w:color w:val="000000" w:themeColor="text1"/>
          <w:sz w:val="24"/>
          <w:szCs w:val="24"/>
          <w:lang w:eastAsia="zh-CN"/>
          <w14:textFill>
            <w14:solidFill>
              <w14:schemeClr w14:val="tx1"/>
            </w14:solidFill>
          </w14:textFill>
        </w:rPr>
        <w:t>本项目的报价应包括该项目所涉及的加软件开发费、人工费、交通费等所有相关费用。</w:t>
      </w:r>
    </w:p>
    <w:p>
      <w:pPr>
        <w:pStyle w:val="4"/>
        <w:ind w:firstLine="640"/>
        <w:rPr>
          <w:rFonts w:ascii="仿宋" w:hAnsi="仿宋" w:eastAsia="仿宋"/>
          <w:color w:val="000000" w:themeColor="text1"/>
          <w:sz w:val="24"/>
          <w14:textFill>
            <w14:solidFill>
              <w14:schemeClr w14:val="tx1"/>
            </w14:solidFill>
          </w14:textFill>
        </w:rPr>
      </w:pPr>
      <w:bookmarkStart w:id="7" w:name="_Toc25588102"/>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三</w:t>
      </w:r>
      <w:r>
        <w:rPr>
          <w:rFonts w:ascii="仿宋" w:hAnsi="仿宋" w:eastAsia="仿宋"/>
          <w:color w:val="000000" w:themeColor="text1"/>
          <w:sz w:val="24"/>
          <w14:textFill>
            <w14:solidFill>
              <w14:schemeClr w14:val="tx1"/>
            </w14:solidFill>
          </w14:textFill>
        </w:rPr>
        <w:t>条 技术标准及要求</w:t>
      </w:r>
      <w:bookmarkEnd w:id="7"/>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3.1 乙方应严格按甲方要求，并符合有关国家标准和行业标准进行供货。</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3.2 在质保期内的使用过程中，乙方应负责处理出现的缺陷和服务问题，所需费用由乙方承担，对于甲方操作失误造成的问题，乙方应积极配合，予以解决，费用由甲方承担。</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3.3 乙方所供货物的质量保证期为</w:t>
      </w:r>
      <w:r>
        <w:rPr>
          <w:rFonts w:ascii="仿宋" w:eastAsia="仿宋"/>
          <w:color w:val="000000" w:themeColor="text1"/>
          <w:sz w:val="24"/>
          <w:szCs w:val="24"/>
          <w:u w:val="single"/>
          <w:lang w:eastAsia="zh-CN"/>
          <w14:textFill>
            <w14:solidFill>
              <w14:schemeClr w14:val="tx1"/>
            </w14:solidFill>
          </w14:textFill>
        </w:rPr>
        <w:t xml:space="preserve">  </w:t>
      </w:r>
      <w:r>
        <w:rPr>
          <w:rFonts w:hint="eastAsia" w:ascii="仿宋" w:eastAsia="仿宋"/>
          <w:color w:val="000000" w:themeColor="text1"/>
          <w:sz w:val="24"/>
          <w:szCs w:val="24"/>
          <w:u w:val="single"/>
          <w:lang w:eastAsia="zh-CN"/>
          <w14:textFill>
            <w14:solidFill>
              <w14:schemeClr w14:val="tx1"/>
            </w14:solidFill>
          </w14:textFill>
        </w:rPr>
        <w:t>2</w:t>
      </w:r>
      <w:r>
        <w:rPr>
          <w:rFonts w:ascii="仿宋" w:eastAsia="仿宋"/>
          <w:color w:val="000000" w:themeColor="text1"/>
          <w:sz w:val="24"/>
          <w:szCs w:val="24"/>
          <w:u w:val="single"/>
          <w:lang w:eastAsia="zh-CN"/>
          <w14:textFill>
            <w14:solidFill>
              <w14:schemeClr w14:val="tx1"/>
            </w14:solidFill>
          </w14:textFill>
        </w:rPr>
        <w:t xml:space="preserve">  </w:t>
      </w:r>
      <w:r>
        <w:rPr>
          <w:rFonts w:ascii="仿宋" w:eastAsia="仿宋"/>
          <w:color w:val="000000" w:themeColor="text1"/>
          <w:sz w:val="24"/>
          <w:szCs w:val="24"/>
          <w:lang w:eastAsia="zh-CN"/>
          <w14:textFill>
            <w14:solidFill>
              <w14:schemeClr w14:val="tx1"/>
            </w14:solidFill>
          </w14:textFill>
        </w:rPr>
        <w:t>年，自货到并验收合格之日起算。</w:t>
      </w:r>
    </w:p>
    <w:p>
      <w:pPr>
        <w:pStyle w:val="4"/>
        <w:ind w:firstLine="640"/>
        <w:rPr>
          <w:rFonts w:ascii="仿宋" w:hAnsi="仿宋" w:eastAsia="仿宋"/>
          <w:color w:val="000000" w:themeColor="text1"/>
          <w:sz w:val="24"/>
          <w14:textFill>
            <w14:solidFill>
              <w14:schemeClr w14:val="tx1"/>
            </w14:solidFill>
          </w14:textFill>
        </w:rPr>
      </w:pPr>
      <w:bookmarkStart w:id="8" w:name="_Toc25588103"/>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四</w:t>
      </w:r>
      <w:r>
        <w:rPr>
          <w:rFonts w:ascii="仿宋" w:hAnsi="仿宋" w:eastAsia="仿宋"/>
          <w:color w:val="000000" w:themeColor="text1"/>
          <w:sz w:val="24"/>
          <w14:textFill>
            <w14:solidFill>
              <w14:schemeClr w14:val="tx1"/>
            </w14:solidFill>
          </w14:textFill>
        </w:rPr>
        <w:t>条 交货日期</w:t>
      </w:r>
      <w:bookmarkEnd w:id="8"/>
    </w:p>
    <w:p>
      <w:pPr>
        <w:ind w:firstLine="480" w:firstLineChars="200"/>
        <w:rPr>
          <w:rFonts w:ascii="仿宋" w:hAnsi="仿宋" w:eastAsia="仿宋"/>
          <w:color w:val="000000" w:themeColor="text1"/>
          <w:sz w:val="28"/>
          <w:szCs w:val="28"/>
          <w14:textFill>
            <w14:solidFill>
              <w14:schemeClr w14:val="tx1"/>
            </w14:solidFill>
          </w14:textFill>
        </w:rPr>
      </w:pPr>
      <w:r>
        <w:rPr>
          <w:rFonts w:ascii="仿宋" w:eastAsia="仿宋"/>
          <w:color w:val="000000" w:themeColor="text1"/>
          <w:sz w:val="24"/>
          <w14:textFill>
            <w14:solidFill>
              <w14:schemeClr w14:val="tx1"/>
            </w14:solidFill>
          </w14:textFill>
        </w:rPr>
        <w:t xml:space="preserve">4.1 </w:t>
      </w:r>
      <w:r>
        <w:rPr>
          <w:rFonts w:hint="eastAsia" w:ascii="仿宋" w:hAnsi="仿宋" w:eastAsia="仿宋"/>
          <w:color w:val="000000" w:themeColor="text1"/>
          <w:sz w:val="24"/>
          <w14:textFill>
            <w14:solidFill>
              <w14:schemeClr w14:val="tx1"/>
            </w14:solidFill>
          </w14:textFill>
        </w:rPr>
        <w:t>自合同签订之日起100</w:t>
      </w:r>
      <w:r>
        <w:rPr>
          <w:rFonts w:ascii="仿宋" w:hAnsi="仿宋" w:eastAsia="仿宋"/>
          <w:color w:val="000000" w:themeColor="text1"/>
          <w:sz w:val="24"/>
          <w14:textFill>
            <w14:solidFill>
              <w14:schemeClr w14:val="tx1"/>
            </w14:solidFill>
          </w14:textFill>
        </w:rPr>
        <w:t>日历</w:t>
      </w:r>
      <w:r>
        <w:rPr>
          <w:rFonts w:hint="eastAsia" w:ascii="仿宋" w:hAnsi="仿宋" w:eastAsia="仿宋"/>
          <w:color w:val="000000" w:themeColor="text1"/>
          <w:sz w:val="24"/>
          <w14:textFill>
            <w14:solidFill>
              <w14:schemeClr w14:val="tx1"/>
            </w14:solidFill>
          </w14:textFill>
        </w:rPr>
        <w:t>天。</w:t>
      </w:r>
    </w:p>
    <w:p>
      <w:pPr>
        <w:pStyle w:val="4"/>
        <w:ind w:firstLine="640"/>
        <w:rPr>
          <w:rFonts w:ascii="仿宋" w:hAnsi="仿宋" w:eastAsia="仿宋"/>
          <w:color w:val="000000" w:themeColor="text1"/>
          <w:sz w:val="24"/>
          <w14:textFill>
            <w14:solidFill>
              <w14:schemeClr w14:val="tx1"/>
            </w14:solidFill>
          </w14:textFill>
        </w:rPr>
      </w:pPr>
      <w:bookmarkStart w:id="9" w:name="_Toc25588104"/>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五</w:t>
      </w:r>
      <w:r>
        <w:rPr>
          <w:rFonts w:ascii="仿宋" w:hAnsi="仿宋" w:eastAsia="仿宋"/>
          <w:color w:val="000000" w:themeColor="text1"/>
          <w:sz w:val="24"/>
          <w14:textFill>
            <w14:solidFill>
              <w14:schemeClr w14:val="tx1"/>
            </w14:solidFill>
          </w14:textFill>
        </w:rPr>
        <w:t>条 验收办法</w:t>
      </w:r>
      <w:bookmarkEnd w:id="9"/>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 xml:space="preserve">5.1 </w:t>
      </w:r>
      <w:r>
        <w:rPr>
          <w:rFonts w:hint="eastAsia" w:ascii="仿宋" w:eastAsia="仿宋"/>
          <w:color w:val="000000" w:themeColor="text1"/>
          <w:sz w:val="24"/>
          <w:szCs w:val="24"/>
          <w:lang w:eastAsia="zh-CN"/>
          <w14:textFill>
            <w14:solidFill>
              <w14:schemeClr w14:val="tx1"/>
            </w14:solidFill>
          </w14:textFill>
        </w:rPr>
        <w:t>按照系统设计方案验收。</w:t>
      </w:r>
    </w:p>
    <w:p>
      <w:pPr>
        <w:pStyle w:val="21"/>
        <w:ind w:firstLine="48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5</w:t>
      </w:r>
      <w:r>
        <w:rPr>
          <w:rFonts w:ascii="仿宋" w:eastAsia="仿宋"/>
          <w:color w:val="000000" w:themeColor="text1"/>
          <w:sz w:val="24"/>
          <w:szCs w:val="24"/>
          <w:lang w:eastAsia="zh-CN"/>
          <w14:textFill>
            <w14:solidFill>
              <w14:schemeClr w14:val="tx1"/>
            </w14:solidFill>
          </w14:textFill>
        </w:rPr>
        <w:t>.</w:t>
      </w:r>
      <w:r>
        <w:rPr>
          <w:rFonts w:hint="eastAsia" w:ascii="仿宋" w:eastAsia="仿宋"/>
          <w:color w:val="000000" w:themeColor="text1"/>
          <w:sz w:val="24"/>
          <w:szCs w:val="24"/>
          <w:lang w:eastAsia="zh-CN"/>
          <w14:textFill>
            <w14:solidFill>
              <w14:schemeClr w14:val="tx1"/>
            </w14:solidFill>
          </w14:textFill>
        </w:rPr>
        <w:t>2 提供相关系统源代码。</w:t>
      </w:r>
    </w:p>
    <w:p>
      <w:pPr>
        <w:pStyle w:val="4"/>
        <w:ind w:firstLine="640"/>
        <w:rPr>
          <w:rFonts w:ascii="仿宋" w:hAnsi="仿宋" w:eastAsia="仿宋"/>
          <w:color w:val="000000" w:themeColor="text1"/>
          <w:sz w:val="24"/>
          <w14:textFill>
            <w14:solidFill>
              <w14:schemeClr w14:val="tx1"/>
            </w14:solidFill>
          </w14:textFill>
        </w:rPr>
      </w:pPr>
      <w:bookmarkStart w:id="10" w:name="_Toc25588105"/>
      <w:r>
        <w:rPr>
          <w:rFonts w:hint="eastAsia" w:ascii="仿宋" w:hAnsi="仿宋" w:eastAsia="仿宋"/>
          <w:color w:val="000000" w:themeColor="text1"/>
          <w:sz w:val="24"/>
          <w14:textFill>
            <w14:solidFill>
              <w14:schemeClr w14:val="tx1"/>
            </w14:solidFill>
          </w14:textFill>
        </w:rPr>
        <w:t>第六条</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履约保证金</w:t>
      </w:r>
      <w:bookmarkEnd w:id="10"/>
    </w:p>
    <w:p>
      <w:pPr>
        <w:pStyle w:val="21"/>
        <w:ind w:left="210" w:leftChars="100" w:firstLine="240" w:firstLineChars="10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6.1乙方应在成交通知书发出1</w:t>
      </w:r>
      <w:r>
        <w:rPr>
          <w:rFonts w:hint="eastAsia" w:ascii="仿宋" w:eastAsia="仿宋"/>
          <w:color w:val="000000" w:themeColor="text1"/>
          <w:sz w:val="24"/>
          <w:szCs w:val="24"/>
          <w:lang w:val="en-US" w:eastAsia="zh-CN"/>
          <w14:textFill>
            <w14:solidFill>
              <w14:schemeClr w14:val="tx1"/>
            </w14:solidFill>
          </w14:textFill>
        </w:rPr>
        <w:t>0</w:t>
      </w:r>
      <w:r>
        <w:rPr>
          <w:rFonts w:hint="eastAsia" w:ascii="仿宋" w:eastAsia="仿宋"/>
          <w:color w:val="000000" w:themeColor="text1"/>
          <w:sz w:val="24"/>
          <w:szCs w:val="24"/>
          <w:lang w:eastAsia="zh-CN"/>
          <w14:textFill>
            <w14:solidFill>
              <w14:schemeClr w14:val="tx1"/>
            </w14:solidFill>
          </w14:textFill>
        </w:rPr>
        <w:t>天日内，一次性向甲方缴纳履约保证金人民币：</w:t>
      </w:r>
      <w:r>
        <w:rPr>
          <w:rFonts w:ascii="仿宋" w:eastAsia="仿宋"/>
          <w:color w:val="000000" w:themeColor="text1"/>
          <w:sz w:val="24"/>
          <w:szCs w:val="24"/>
          <w:u w:val="single"/>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元。履约保证金不计利息。</w:t>
      </w:r>
    </w:p>
    <w:p>
      <w:pPr>
        <w:pStyle w:val="21"/>
        <w:ind w:firstLine="48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6.2履约保证金应由乙方名义开立的账户支付到甲方账户，否则视为未支付，甲方有权追究乙方逾期付款责任。</w:t>
      </w:r>
    </w:p>
    <w:p>
      <w:pPr>
        <w:pStyle w:val="21"/>
        <w:ind w:firstLine="48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6.3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pStyle w:val="4"/>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6.4本合同期限届满，若乙方在约定时间内履行完成合同义务且无违约情形，甲方在收到乙方退还履约保证金的申请后，</w:t>
      </w:r>
      <w:r>
        <w:rPr>
          <w:rFonts w:hint="eastAsia" w:ascii="仿宋" w:eastAsia="仿宋"/>
          <w:color w:val="000000" w:themeColor="text1"/>
          <w:sz w:val="24"/>
          <w:lang w:val="en-US" w:eastAsia="zh-CN"/>
          <w14:textFill>
            <w14:solidFill>
              <w14:schemeClr w14:val="tx1"/>
            </w14:solidFill>
          </w14:textFill>
        </w:rPr>
        <w:t>15个工作日</w:t>
      </w:r>
      <w:r>
        <w:rPr>
          <w:rFonts w:hint="eastAsia" w:ascii="仿宋" w:eastAsia="仿宋"/>
          <w:color w:val="000000" w:themeColor="text1"/>
          <w:sz w:val="24"/>
          <w14:textFill>
            <w14:solidFill>
              <w14:schemeClr w14:val="tx1"/>
            </w14:solidFill>
          </w14:textFill>
        </w:rPr>
        <w:t>内无息退还。</w:t>
      </w:r>
      <w:bookmarkStart w:id="11" w:name="_Toc25588106"/>
    </w:p>
    <w:p>
      <w:pPr>
        <w:pStyle w:val="4"/>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第七条 付款方式</w:t>
      </w:r>
      <w:bookmarkEnd w:id="11"/>
      <w:r>
        <w:rPr>
          <w:rFonts w:ascii="仿宋" w:hAnsi="仿宋" w:eastAsia="仿宋"/>
          <w:color w:val="000000" w:themeColor="text1"/>
          <w:sz w:val="24"/>
          <w14:textFill>
            <w14:solidFill>
              <w14:schemeClr w14:val="tx1"/>
            </w14:solidFill>
          </w14:textFill>
        </w:rPr>
        <w:t xml:space="preserve"> </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 甲乙双方签订合同后，乙方按要求开具全额增值税专用发票，甲方在收到发票且项目经甲方人员验收合格后，甲方在30个工作日内支付合同价款的97%，质保期结束45个工作日内支付剩下合同款的3%。</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7.2乙方需向甲方提供正规增值税发票。如果乙方提供增值税普通发票，甲方支付金额为不含增值税金额；如果乙方提供增值税专用发票，甲方支付金额=不含增值税金额+增值税税额。</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7.3付款方式为银行转账或银行承兑汇票。</w:t>
      </w:r>
    </w:p>
    <w:p>
      <w:pPr>
        <w:pStyle w:val="4"/>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7.4如税率发生国家法规调整，折算为不含税价后以新适用税率结算。</w:t>
      </w:r>
      <w:bookmarkStart w:id="12" w:name="_Toc25588107"/>
    </w:p>
    <w:p>
      <w:pPr>
        <w:pStyle w:val="4"/>
        <w:ind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八</w:t>
      </w:r>
      <w:r>
        <w:rPr>
          <w:rFonts w:ascii="仿宋" w:hAnsi="仿宋" w:eastAsia="仿宋"/>
          <w:color w:val="000000" w:themeColor="text1"/>
          <w:sz w:val="24"/>
          <w14:textFill>
            <w14:solidFill>
              <w14:schemeClr w14:val="tx1"/>
            </w14:solidFill>
          </w14:textFill>
        </w:rPr>
        <w:t>条 违约和索赔</w:t>
      </w:r>
      <w:bookmarkEnd w:id="12"/>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8. 1乙方逾期交货，乙方应向甲方偿付逾期交付违约金。逾期违约金按照合同总价款每日万分之三计算。甲方可在货物结算款中扣除。违约金尚不能补偿对方损失时，有权向对方追索实际损失的赔偿金。</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8.2 乙方逾期交货，或不履行售后服务，经甲方催告后仍不能履行的，甲方有权解除合同，保证金作为违约金不予退还。保证金不足以弥补甲方损失的，甲方有权追偿。</w:t>
      </w:r>
    </w:p>
    <w:p>
      <w:pPr>
        <w:pStyle w:val="21"/>
        <w:ind w:firstLine="480"/>
        <w:rPr>
          <w:rFonts w:ascii="仿宋" w:eastAsia="仿宋"/>
          <w:bCs/>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 xml:space="preserve">8.3 </w:t>
      </w:r>
      <w:r>
        <w:rPr>
          <w:rFonts w:ascii="仿宋" w:eastAsia="仿宋"/>
          <w:bCs/>
          <w:color w:val="000000" w:themeColor="text1"/>
          <w:sz w:val="24"/>
          <w:szCs w:val="24"/>
          <w:lang w:eastAsia="zh-CN"/>
          <w14:textFill>
            <w14:solidFill>
              <w14:schemeClr w14:val="tx1"/>
            </w14:solidFill>
          </w14:textFill>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21"/>
        <w:ind w:firstLine="480"/>
        <w:rPr>
          <w:rFonts w:ascii="仿宋" w:eastAsia="仿宋"/>
          <w:bCs/>
          <w:color w:val="000000" w:themeColor="text1"/>
          <w:sz w:val="24"/>
          <w:szCs w:val="24"/>
          <w:lang w:eastAsia="zh-CN"/>
          <w14:textFill>
            <w14:solidFill>
              <w14:schemeClr w14:val="tx1"/>
            </w14:solidFill>
          </w14:textFill>
        </w:rPr>
      </w:pPr>
      <w:r>
        <w:rPr>
          <w:rFonts w:ascii="仿宋" w:eastAsia="仿宋"/>
          <w:bCs/>
          <w:color w:val="000000" w:themeColor="text1"/>
          <w:sz w:val="24"/>
          <w:szCs w:val="24"/>
          <w:lang w:eastAsia="zh-CN"/>
          <w14:textFill>
            <w14:solidFill>
              <w14:schemeClr w14:val="tx1"/>
            </w14:solidFill>
          </w14:textFill>
        </w:rPr>
        <w:t>8.4因产品质量瑕疵或缺陷导致甲方或第三人损害的，甲方有权向乙方索赔。</w:t>
      </w:r>
    </w:p>
    <w:p>
      <w:pPr>
        <w:pStyle w:val="4"/>
        <w:ind w:firstLine="640"/>
        <w:rPr>
          <w:rFonts w:ascii="仿宋" w:hAnsi="仿宋" w:eastAsia="仿宋"/>
          <w:color w:val="000000" w:themeColor="text1"/>
          <w:sz w:val="24"/>
          <w14:textFill>
            <w14:solidFill>
              <w14:schemeClr w14:val="tx1"/>
            </w14:solidFill>
          </w14:textFill>
        </w:rPr>
      </w:pPr>
      <w:bookmarkStart w:id="13" w:name="_Toc25588108"/>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九</w:t>
      </w:r>
      <w:r>
        <w:rPr>
          <w:rFonts w:ascii="仿宋" w:hAnsi="仿宋" w:eastAsia="仿宋"/>
          <w:color w:val="000000" w:themeColor="text1"/>
          <w:sz w:val="24"/>
          <w14:textFill>
            <w14:solidFill>
              <w14:schemeClr w14:val="tx1"/>
            </w14:solidFill>
          </w14:textFill>
        </w:rPr>
        <w:t>条 不可抗力</w:t>
      </w:r>
      <w:bookmarkEnd w:id="13"/>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仿宋" w:hAnsi="仿宋" w:eastAsia="仿宋"/>
          <w:color w:val="000000" w:themeColor="text1"/>
          <w:sz w:val="24"/>
          <w14:textFill>
            <w14:solidFill>
              <w14:schemeClr w14:val="tx1"/>
            </w14:solidFill>
          </w14:textFill>
        </w:rPr>
      </w:pPr>
      <w:bookmarkStart w:id="14" w:name="_Toc25588109"/>
      <w:r>
        <w:rPr>
          <w:rFonts w:hint="eastAsia" w:ascii="仿宋" w:hAnsi="仿宋" w:eastAsia="仿宋"/>
          <w:color w:val="000000" w:themeColor="text1"/>
          <w:sz w:val="24"/>
          <w14:textFill>
            <w14:solidFill>
              <w14:schemeClr w14:val="tx1"/>
            </w14:solidFill>
          </w14:textFill>
        </w:rPr>
        <w:t>第十条</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通知条款</w:t>
      </w:r>
      <w:bookmarkEnd w:id="14"/>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甲方指定的联系方式：</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联系人：</w:t>
      </w:r>
      <w:r>
        <w:rPr>
          <w:rFonts w:hint="eastAsia" w:ascii="仿宋" w:eastAsia="仿宋"/>
          <w:color w:val="000000" w:themeColor="text1"/>
          <w:sz w:val="24"/>
          <w:szCs w:val="24"/>
          <w:u w:val="single"/>
          <w:lang w:eastAsia="zh-CN"/>
          <w14:textFill>
            <w14:solidFill>
              <w14:schemeClr w14:val="tx1"/>
            </w14:solidFill>
          </w14:textFill>
        </w:rPr>
        <w:t>李冠男</w:t>
      </w:r>
      <w:r>
        <w:rPr>
          <w:rFonts w:ascii="仿宋" w:eastAsia="仿宋" w:cs="Times New Roman"/>
          <w:color w:val="000000" w:themeColor="text1"/>
          <w:sz w:val="24"/>
          <w:szCs w:val="24"/>
          <w:u w:val="single"/>
          <w:lang w:eastAsia="zh-CN"/>
          <w14:textFill>
            <w14:solidFill>
              <w14:schemeClr w14:val="tx1"/>
            </w14:solidFill>
          </w14:textFill>
        </w:rPr>
        <w:t>_______________________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联系电话：</w:t>
      </w:r>
      <w:r>
        <w:rPr>
          <w:rFonts w:hint="eastAsia" w:ascii="仿宋" w:eastAsia="仿宋"/>
          <w:color w:val="000000" w:themeColor="text1"/>
          <w:sz w:val="24"/>
          <w:szCs w:val="24"/>
          <w:u w:val="single"/>
          <w:lang w:eastAsia="zh-CN"/>
          <w14:textFill>
            <w14:solidFill>
              <w14:schemeClr w14:val="tx1"/>
            </w14:solidFill>
          </w14:textFill>
        </w:rPr>
        <w:t>02367152518</w:t>
      </w:r>
      <w:r>
        <w:rPr>
          <w:rFonts w:ascii="仿宋" w:eastAsia="仿宋" w:cs="Times New Roman"/>
          <w:color w:val="000000" w:themeColor="text1"/>
          <w:sz w:val="24"/>
          <w:szCs w:val="24"/>
          <w:u w:val="single"/>
          <w:lang w:eastAsia="zh-CN"/>
          <w14:textFill>
            <w14:solidFill>
              <w14:schemeClr w14:val="tx1"/>
            </w14:solidFill>
          </w14:textFill>
        </w:rPr>
        <w:t>________________</w:t>
      </w:r>
    </w:p>
    <w:p>
      <w:pPr>
        <w:pStyle w:val="21"/>
        <w:ind w:firstLine="480"/>
        <w:rPr>
          <w:rFonts w:ascii="仿宋" w:eastAsia="仿宋" w:cs="Times New Roman"/>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通讯地址：</w:t>
      </w:r>
      <w:r>
        <w:rPr>
          <w:rFonts w:hint="eastAsia" w:ascii="仿宋" w:eastAsia="仿宋"/>
          <w:color w:val="000000" w:themeColor="text1"/>
          <w:sz w:val="24"/>
          <w:szCs w:val="24"/>
          <w:u w:val="single"/>
          <w:lang w:eastAsia="zh-CN"/>
          <w14:textFill>
            <w14:solidFill>
              <w14:schemeClr w14:val="tx1"/>
            </w14:solidFill>
          </w14:textFill>
        </w:rPr>
        <w:t>重庆江北国际机场有限公司</w:t>
      </w:r>
      <w:r>
        <w:rPr>
          <w:rFonts w:ascii="仿宋" w:eastAsia="仿宋" w:cs="Times New Roman"/>
          <w:color w:val="000000" w:themeColor="text1"/>
          <w:sz w:val="24"/>
          <w:szCs w:val="24"/>
          <w:u w:val="single"/>
          <w:lang w:eastAsia="zh-CN"/>
          <w14:textFill>
            <w14:solidFill>
              <w14:schemeClr w14:val="tx1"/>
            </w14:solidFill>
          </w14:textFill>
        </w:rPr>
        <w:t>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电子邮件：</w:t>
      </w:r>
      <w:r>
        <w:rPr>
          <w:rFonts w:ascii="仿宋" w:eastAsia="仿宋" w:cs="Times New Roman"/>
          <w:color w:val="000000" w:themeColor="text1"/>
          <w:sz w:val="24"/>
          <w:szCs w:val="24"/>
          <w:lang w:eastAsia="zh-CN"/>
          <w14:textFill>
            <w14:solidFill>
              <w14:schemeClr w14:val="tx1"/>
            </w14:solidFill>
          </w14:textFill>
        </w:rPr>
        <w:t>___________________________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乙方指定的联系方式：</w:t>
      </w:r>
    </w:p>
    <w:p>
      <w:pPr>
        <w:pStyle w:val="21"/>
        <w:ind w:firstLine="480"/>
        <w:rPr>
          <w:rFonts w:ascii="仿宋" w:eastAsia="仿宋" w:cs="Times New Roman"/>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联系人：</w:t>
      </w:r>
      <w:r>
        <w:rPr>
          <w:rFonts w:ascii="仿宋" w:eastAsia="仿宋" w:cs="Times New Roman"/>
          <w:color w:val="000000" w:themeColor="text1"/>
          <w:sz w:val="24"/>
          <w:szCs w:val="24"/>
          <w:lang w:eastAsia="zh-CN"/>
          <w14:textFill>
            <w14:solidFill>
              <w14:schemeClr w14:val="tx1"/>
            </w14:solidFill>
          </w14:textFill>
        </w:rPr>
        <w:t>_____________________________</w:t>
      </w:r>
    </w:p>
    <w:p>
      <w:pPr>
        <w:pStyle w:val="21"/>
        <w:ind w:firstLine="480"/>
        <w:rPr>
          <w:rFonts w:ascii="仿宋" w:eastAsia="仿宋" w:cs="Times New Roman"/>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联系电话：</w:t>
      </w:r>
      <w:r>
        <w:rPr>
          <w:rFonts w:ascii="仿宋" w:eastAsia="仿宋" w:cs="Times New Roman"/>
          <w:color w:val="000000" w:themeColor="text1"/>
          <w:sz w:val="24"/>
          <w:szCs w:val="24"/>
          <w:lang w:eastAsia="zh-CN"/>
          <w14:textFill>
            <w14:solidFill>
              <w14:schemeClr w14:val="tx1"/>
            </w14:solidFill>
          </w14:textFill>
        </w:rPr>
        <w:t>___________________________</w:t>
      </w:r>
    </w:p>
    <w:p>
      <w:pPr>
        <w:pStyle w:val="21"/>
        <w:ind w:firstLine="480"/>
        <w:rPr>
          <w:rFonts w:ascii="仿宋" w:eastAsia="仿宋" w:cs="Times New Roman"/>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通讯地址：</w:t>
      </w:r>
      <w:r>
        <w:rPr>
          <w:rFonts w:ascii="仿宋" w:eastAsia="仿宋" w:cs="Times New Roman"/>
          <w:color w:val="000000" w:themeColor="text1"/>
          <w:sz w:val="24"/>
          <w:szCs w:val="24"/>
          <w:lang w:eastAsia="zh-CN"/>
          <w14:textFill>
            <w14:solidFill>
              <w14:schemeClr w14:val="tx1"/>
            </w14:solidFill>
          </w14:textFill>
        </w:rPr>
        <w:t>___________________________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电子邮件：</w:t>
      </w:r>
      <w:r>
        <w:rPr>
          <w:rFonts w:ascii="仿宋" w:eastAsia="仿宋" w:cs="Times New Roman"/>
          <w:color w:val="000000" w:themeColor="text1"/>
          <w:sz w:val="24"/>
          <w:szCs w:val="24"/>
          <w:lang w:eastAsia="zh-CN"/>
          <w14:textFill>
            <w14:solidFill>
              <w14:schemeClr w14:val="tx1"/>
            </w14:solidFill>
          </w14:textFill>
        </w:rPr>
        <w:t>___________________________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10.1采用当面签收的，应由合同中指定的联系人或双方授权的代表签收，签收日期即为送达时间。</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10.5收件一方若认为邮件封面标题与邮件中实际文件内容不符的，应在收到邮件后三日内通知相对人，逾期视为邮件封面标题与邮件中实际文件内容一致，并视为有效送达收件人。</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10.7本合同约定的联系方式与送达方式同时可作为法律文书的联系方式与送达方式。</w:t>
      </w:r>
    </w:p>
    <w:p>
      <w:pPr>
        <w:pStyle w:val="4"/>
        <w:ind w:firstLine="640"/>
        <w:rPr>
          <w:rFonts w:ascii="仿宋" w:hAnsi="仿宋" w:eastAsia="仿宋"/>
          <w:color w:val="000000" w:themeColor="text1"/>
          <w:sz w:val="24"/>
          <w14:textFill>
            <w14:solidFill>
              <w14:schemeClr w14:val="tx1"/>
            </w14:solidFill>
          </w14:textFill>
        </w:rPr>
      </w:pPr>
      <w:bookmarkStart w:id="15" w:name="_Toc25588110"/>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十一</w:t>
      </w:r>
      <w:r>
        <w:rPr>
          <w:rFonts w:ascii="仿宋" w:hAnsi="仿宋" w:eastAsia="仿宋"/>
          <w:color w:val="000000" w:themeColor="text1"/>
          <w:sz w:val="24"/>
          <w14:textFill>
            <w14:solidFill>
              <w14:schemeClr w14:val="tx1"/>
            </w14:solidFill>
          </w14:textFill>
        </w:rPr>
        <w:t xml:space="preserve">条 </w:t>
      </w:r>
      <w:r>
        <w:rPr>
          <w:rFonts w:hint="eastAsia" w:ascii="仿宋" w:hAnsi="仿宋" w:eastAsia="仿宋"/>
          <w:color w:val="000000" w:themeColor="text1"/>
          <w:sz w:val="24"/>
          <w14:textFill>
            <w14:solidFill>
              <w14:schemeClr w14:val="tx1"/>
            </w14:solidFill>
          </w14:textFill>
        </w:rPr>
        <w:t>保密条款</w:t>
      </w:r>
      <w:bookmarkEnd w:id="15"/>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仿宋" w:hAnsi="仿宋" w:eastAsia="仿宋"/>
          <w:color w:val="000000" w:themeColor="text1"/>
          <w:sz w:val="24"/>
          <w14:textFill>
            <w14:solidFill>
              <w14:schemeClr w14:val="tx1"/>
            </w14:solidFill>
          </w14:textFill>
        </w:rPr>
      </w:pPr>
      <w:bookmarkStart w:id="16" w:name="_Toc25588111"/>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十二</w:t>
      </w:r>
      <w:r>
        <w:rPr>
          <w:rFonts w:ascii="仿宋" w:hAnsi="仿宋" w:eastAsia="仿宋"/>
          <w:color w:val="000000" w:themeColor="text1"/>
          <w:sz w:val="24"/>
          <w14:textFill>
            <w14:solidFill>
              <w14:schemeClr w14:val="tx1"/>
            </w14:solidFill>
          </w14:textFill>
        </w:rPr>
        <w:t xml:space="preserve">条 </w:t>
      </w:r>
      <w:r>
        <w:rPr>
          <w:rFonts w:hint="eastAsia" w:ascii="仿宋" w:hAnsi="仿宋" w:eastAsia="仿宋"/>
          <w:color w:val="000000" w:themeColor="text1"/>
          <w:sz w:val="24"/>
          <w14:textFill>
            <w14:solidFill>
              <w14:schemeClr w14:val="tx1"/>
            </w14:solidFill>
          </w14:textFill>
        </w:rPr>
        <w:t>合同争议的解决方式</w:t>
      </w:r>
      <w:bookmarkEnd w:id="16"/>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12.1 若在合同履行过程中发生争议，甲乙双方应当友好协商解决，协商不成，按以下第（</w:t>
      </w:r>
      <w:r>
        <w:rPr>
          <w:rFonts w:hint="eastAsia" w:ascii="仿宋" w:eastAsia="仿宋"/>
          <w:color w:val="000000" w:themeColor="text1"/>
          <w:sz w:val="24"/>
          <w:szCs w:val="24"/>
          <w:lang w:eastAsia="zh-CN"/>
          <w14:textFill>
            <w14:solidFill>
              <w14:schemeClr w14:val="tx1"/>
            </w14:solidFill>
          </w14:textFill>
        </w:rPr>
        <w:t>一</w:t>
      </w:r>
      <w:r>
        <w:rPr>
          <w:rFonts w:ascii="仿宋" w:eastAsia="仿宋"/>
          <w:color w:val="000000" w:themeColor="text1"/>
          <w:sz w:val="24"/>
          <w:szCs w:val="24"/>
          <w:lang w:eastAsia="zh-CN"/>
          <w14:textFill>
            <w14:solidFill>
              <w14:schemeClr w14:val="tx1"/>
            </w14:solidFill>
          </w14:textFill>
        </w:rPr>
        <w:t>） 种方式解决：</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（一）提交重庆仲裁委员会，按照申请仲裁时该会现行有效的仲裁规则进行仲裁。</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（二）向甲方所在地人民法院起诉。</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12.2在</w:t>
      </w:r>
      <w:r>
        <w:rPr>
          <w:rFonts w:hint="eastAsia" w:ascii="仿宋" w:eastAsia="仿宋"/>
          <w:color w:val="000000" w:themeColor="text1"/>
          <w:sz w:val="24"/>
          <w:szCs w:val="24"/>
          <w:lang w:eastAsia="zh-CN"/>
          <w14:textFill>
            <w14:solidFill>
              <w14:schemeClr w14:val="tx1"/>
            </w14:solidFill>
          </w14:textFill>
        </w:rPr>
        <w:t>仲裁或</w:t>
      </w:r>
      <w:r>
        <w:rPr>
          <w:rFonts w:ascii="仿宋" w:eastAsia="仿宋"/>
          <w:color w:val="000000" w:themeColor="text1"/>
          <w:sz w:val="24"/>
          <w:szCs w:val="24"/>
          <w:lang w:eastAsia="zh-CN"/>
          <w14:textFill>
            <w14:solidFill>
              <w14:schemeClr w14:val="tx1"/>
            </w14:solidFill>
          </w14:textFill>
        </w:rPr>
        <w:t>诉讼期间，除正在进行诉讼的部分外，合同其它部分继续执行。</w:t>
      </w:r>
    </w:p>
    <w:p>
      <w:pPr>
        <w:pStyle w:val="4"/>
        <w:ind w:firstLine="640"/>
        <w:rPr>
          <w:rFonts w:ascii="仿宋" w:hAnsi="仿宋" w:eastAsia="仿宋"/>
          <w:color w:val="000000" w:themeColor="text1"/>
          <w:sz w:val="24"/>
          <w14:textFill>
            <w14:solidFill>
              <w14:schemeClr w14:val="tx1"/>
            </w14:solidFill>
          </w14:textFill>
        </w:rPr>
      </w:pPr>
      <w:bookmarkStart w:id="17" w:name="_Toc25588112"/>
      <w:r>
        <w:rPr>
          <w:rFonts w:hint="eastAsia" w:ascii="仿宋" w:hAnsi="仿宋" w:eastAsia="仿宋"/>
          <w:color w:val="000000" w:themeColor="text1"/>
          <w:sz w:val="24"/>
          <w14:textFill>
            <w14:solidFill>
              <w14:schemeClr w14:val="tx1"/>
            </w14:solidFill>
          </w14:textFill>
        </w:rPr>
        <w:t>第十三条</w:t>
      </w:r>
      <w:r>
        <w:rPr>
          <w:rFonts w:ascii="仿宋" w:hAnsi="仿宋" w:eastAsia="仿宋"/>
          <w:color w:val="000000" w:themeColor="text1"/>
          <w:sz w:val="24"/>
          <w14:textFill>
            <w14:solidFill>
              <w14:schemeClr w14:val="tx1"/>
            </w14:solidFill>
          </w14:textFill>
        </w:rPr>
        <w:t xml:space="preserve"> 合同的变更和解除</w:t>
      </w:r>
      <w:bookmarkEnd w:id="17"/>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13.2 经双方协商一致，并达成书面合同后，本合同可以解除，双方应就合同解除的后果在解约合同中一并做出约定。一方也可根据合同约定单方行使合同解除权。</w:t>
      </w:r>
    </w:p>
    <w:p>
      <w:pPr>
        <w:pStyle w:val="4"/>
        <w:ind w:firstLine="640"/>
        <w:rPr>
          <w:rFonts w:ascii="仿宋" w:hAnsi="仿宋" w:eastAsia="仿宋"/>
          <w:color w:val="000000" w:themeColor="text1"/>
          <w:sz w:val="24"/>
          <w14:textFill>
            <w14:solidFill>
              <w14:schemeClr w14:val="tx1"/>
            </w14:solidFill>
          </w14:textFill>
        </w:rPr>
      </w:pPr>
      <w:bookmarkStart w:id="18" w:name="_Toc25588113"/>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十四</w:t>
      </w:r>
      <w:r>
        <w:rPr>
          <w:rFonts w:ascii="仿宋" w:hAnsi="仿宋" w:eastAsia="仿宋"/>
          <w:color w:val="000000" w:themeColor="text1"/>
          <w:sz w:val="24"/>
          <w14:textFill>
            <w14:solidFill>
              <w14:schemeClr w14:val="tx1"/>
            </w14:solidFill>
          </w14:textFill>
        </w:rPr>
        <w:t>条 合同生效及其他</w:t>
      </w:r>
      <w:bookmarkEnd w:id="18"/>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14.1 乙方和甲方约定合同内容双方签字或盖章后生效，生效后不得以其他原因单方取消约定。</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 xml:space="preserve">14.2 本合同一式【 </w:t>
      </w:r>
      <w:r>
        <w:rPr>
          <w:rFonts w:hint="eastAsia" w:ascii="仿宋" w:eastAsia="仿宋"/>
          <w:color w:val="000000" w:themeColor="text1"/>
          <w:sz w:val="24"/>
          <w:szCs w:val="24"/>
          <w:lang w:eastAsia="zh-CN"/>
          <w14:textFill>
            <w14:solidFill>
              <w14:schemeClr w14:val="tx1"/>
            </w14:solidFill>
          </w14:textFill>
        </w:rPr>
        <w:t>七</w:t>
      </w:r>
      <w:r>
        <w:rPr>
          <w:rFonts w:ascii="仿宋" w:eastAsia="仿宋"/>
          <w:color w:val="000000" w:themeColor="text1"/>
          <w:sz w:val="24"/>
          <w:szCs w:val="24"/>
          <w:lang w:eastAsia="zh-CN"/>
          <w14:textFill>
            <w14:solidFill>
              <w14:schemeClr w14:val="tx1"/>
            </w14:solidFill>
          </w14:textFill>
        </w:rPr>
        <w:t xml:space="preserve"> 】份，甲方执【 </w:t>
      </w:r>
      <w:r>
        <w:rPr>
          <w:rFonts w:hint="eastAsia" w:ascii="仿宋" w:eastAsia="仿宋"/>
          <w:color w:val="000000" w:themeColor="text1"/>
          <w:sz w:val="24"/>
          <w:szCs w:val="24"/>
          <w:lang w:eastAsia="zh-CN"/>
          <w14:textFill>
            <w14:solidFill>
              <w14:schemeClr w14:val="tx1"/>
            </w14:solidFill>
          </w14:textFill>
        </w:rPr>
        <w:t>四</w:t>
      </w:r>
      <w:r>
        <w:rPr>
          <w:rFonts w:ascii="仿宋" w:eastAsia="仿宋"/>
          <w:color w:val="000000" w:themeColor="text1"/>
          <w:sz w:val="24"/>
          <w:szCs w:val="24"/>
          <w:lang w:eastAsia="zh-CN"/>
          <w14:textFill>
            <w14:solidFill>
              <w14:schemeClr w14:val="tx1"/>
            </w14:solidFill>
          </w14:textFill>
        </w:rPr>
        <w:t xml:space="preserve"> 】份，乙方执【 </w:t>
      </w:r>
      <w:r>
        <w:rPr>
          <w:rFonts w:hint="eastAsia" w:ascii="仿宋" w:eastAsia="仿宋"/>
          <w:color w:val="000000" w:themeColor="text1"/>
          <w:sz w:val="24"/>
          <w:szCs w:val="24"/>
          <w:lang w:eastAsia="zh-CN"/>
          <w14:textFill>
            <w14:solidFill>
              <w14:schemeClr w14:val="tx1"/>
            </w14:solidFill>
          </w14:textFill>
        </w:rPr>
        <w:t>三</w:t>
      </w:r>
      <w:r>
        <w:rPr>
          <w:rFonts w:ascii="仿宋" w:eastAsia="仿宋"/>
          <w:color w:val="000000" w:themeColor="text1"/>
          <w:sz w:val="24"/>
          <w:szCs w:val="24"/>
          <w:lang w:eastAsia="zh-CN"/>
          <w14:textFill>
            <w14:solidFill>
              <w14:schemeClr w14:val="tx1"/>
            </w14:solidFill>
          </w14:textFill>
        </w:rPr>
        <w:t xml:space="preserve"> 】份，具有同等法律效力。</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br w:type="textWrapping"/>
      </w:r>
      <w:r>
        <w:rPr>
          <w:rFonts w:ascii="仿宋" w:eastAsia="仿宋"/>
          <w:b/>
          <w:bCs/>
          <w:color w:val="000000" w:themeColor="text1"/>
          <w:sz w:val="24"/>
          <w:szCs w:val="24"/>
          <w:lang w:eastAsia="zh-CN"/>
          <w14:textFill>
            <w14:solidFill>
              <w14:schemeClr w14:val="tx1"/>
            </w14:solidFill>
          </w14:textFill>
        </w:rPr>
        <w:t>甲方（盖章）：</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法定代表人或授权代表（签字）：</w:t>
      </w:r>
    </w:p>
    <w:p>
      <w:pPr>
        <w:pStyle w:val="21"/>
        <w:ind w:firstLine="480"/>
        <w:rPr>
          <w:rFonts w:ascii="仿宋" w:eastAsia="仿宋"/>
          <w:color w:val="000000" w:themeColor="text1"/>
          <w:sz w:val="24"/>
          <w:szCs w:val="24"/>
          <w:lang w:eastAsia="zh-CN"/>
          <w14:textFill>
            <w14:solidFill>
              <w14:schemeClr w14:val="tx1"/>
            </w14:solidFill>
          </w14:textFill>
        </w:rPr>
      </w:pP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br w:type="textWrapping"/>
      </w:r>
      <w:r>
        <w:rPr>
          <w:rFonts w:ascii="仿宋" w:eastAsia="仿宋"/>
          <w:b/>
          <w:bCs/>
          <w:color w:val="000000" w:themeColor="text1"/>
          <w:sz w:val="24"/>
          <w:szCs w:val="24"/>
          <w:lang w:eastAsia="zh-CN"/>
          <w14:textFill>
            <w14:solidFill>
              <w14:schemeClr w14:val="tx1"/>
            </w14:solidFill>
          </w14:textFill>
        </w:rPr>
        <w:t>乙方（盖章）：</w:t>
      </w:r>
    </w:p>
    <w:p>
      <w:pPr>
        <w:pStyle w:val="21"/>
        <w:ind w:firstLine="480"/>
        <w:rPr>
          <w:rFonts w:asciiTheme="minorEastAsia" w:hAnsiTheme="minorEastAsia" w:eastAsiaTheme="minorEastAsia"/>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法定代表人或授权代表（签字）</w:t>
      </w:r>
      <w:r>
        <w:rPr>
          <w:rFonts w:asciiTheme="minorEastAsia" w:hAnsiTheme="minorEastAsia" w:eastAsiaTheme="minorEastAsia"/>
          <w:color w:val="000000" w:themeColor="text1"/>
          <w:sz w:val="24"/>
          <w:szCs w:val="24"/>
          <w:lang w:eastAsia="zh-CN"/>
          <w14:textFill>
            <w14:solidFill>
              <w14:schemeClr w14:val="tx1"/>
            </w14:solidFill>
          </w14:textFill>
        </w:rPr>
        <w:t>：</w:t>
      </w:r>
    </w:p>
    <w:p>
      <w:pPr>
        <w:pStyle w:val="21"/>
        <w:ind w:firstLine="600"/>
        <w:rPr>
          <w:color w:val="000000" w:themeColor="text1"/>
          <w:lang w:eastAsia="zh-CN"/>
          <w14:textFill>
            <w14:solidFill>
              <w14:schemeClr w14:val="tx1"/>
            </w14:solidFill>
          </w14:textFill>
        </w:rPr>
      </w:pPr>
    </w:p>
    <w:p>
      <w:pPr>
        <w:pStyle w:val="21"/>
        <w:ind w:firstLine="600"/>
        <w:rPr>
          <w:color w:val="000000" w:themeColor="text1"/>
          <w:lang w:eastAsia="zh-CN"/>
          <w14:textFill>
            <w14:solidFill>
              <w14:schemeClr w14:val="tx1"/>
            </w14:solidFill>
          </w14:textFill>
        </w:rPr>
      </w:pPr>
    </w:p>
    <w:sectPr>
      <w:footerReference r:id="rId6"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10"/>
                      <w:jc w:val="center"/>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706860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0D67"/>
    <w:rsid w:val="00005333"/>
    <w:rsid w:val="00006788"/>
    <w:rsid w:val="00012C2B"/>
    <w:rsid w:val="00012FAD"/>
    <w:rsid w:val="00013540"/>
    <w:rsid w:val="000159A7"/>
    <w:rsid w:val="000162C5"/>
    <w:rsid w:val="00017CC8"/>
    <w:rsid w:val="000223CD"/>
    <w:rsid w:val="0002289E"/>
    <w:rsid w:val="00023008"/>
    <w:rsid w:val="00024F9E"/>
    <w:rsid w:val="00025AEC"/>
    <w:rsid w:val="000265C7"/>
    <w:rsid w:val="00031BB8"/>
    <w:rsid w:val="00032715"/>
    <w:rsid w:val="00035345"/>
    <w:rsid w:val="000371A2"/>
    <w:rsid w:val="00037CFF"/>
    <w:rsid w:val="00050D62"/>
    <w:rsid w:val="0005249A"/>
    <w:rsid w:val="00053E76"/>
    <w:rsid w:val="0005588C"/>
    <w:rsid w:val="00056869"/>
    <w:rsid w:val="000611DA"/>
    <w:rsid w:val="000625F8"/>
    <w:rsid w:val="000631F6"/>
    <w:rsid w:val="00063CCA"/>
    <w:rsid w:val="00073A28"/>
    <w:rsid w:val="000740F0"/>
    <w:rsid w:val="00075615"/>
    <w:rsid w:val="00076511"/>
    <w:rsid w:val="0008205D"/>
    <w:rsid w:val="000825D0"/>
    <w:rsid w:val="00084B6F"/>
    <w:rsid w:val="00086542"/>
    <w:rsid w:val="000875B7"/>
    <w:rsid w:val="00090B76"/>
    <w:rsid w:val="00097144"/>
    <w:rsid w:val="000A3B23"/>
    <w:rsid w:val="000B00EE"/>
    <w:rsid w:val="000B4109"/>
    <w:rsid w:val="000B69BF"/>
    <w:rsid w:val="000B753E"/>
    <w:rsid w:val="000B7659"/>
    <w:rsid w:val="000C02DD"/>
    <w:rsid w:val="000C120A"/>
    <w:rsid w:val="000C6199"/>
    <w:rsid w:val="000D18C6"/>
    <w:rsid w:val="000D1DB6"/>
    <w:rsid w:val="000D325E"/>
    <w:rsid w:val="000D521A"/>
    <w:rsid w:val="000E2F2F"/>
    <w:rsid w:val="000E5E1E"/>
    <w:rsid w:val="000F1252"/>
    <w:rsid w:val="000F3310"/>
    <w:rsid w:val="000F40DE"/>
    <w:rsid w:val="000F4E07"/>
    <w:rsid w:val="000F76FD"/>
    <w:rsid w:val="00103882"/>
    <w:rsid w:val="00106E21"/>
    <w:rsid w:val="00115DC3"/>
    <w:rsid w:val="001176B9"/>
    <w:rsid w:val="001205C9"/>
    <w:rsid w:val="00126315"/>
    <w:rsid w:val="00126336"/>
    <w:rsid w:val="00126337"/>
    <w:rsid w:val="0013184B"/>
    <w:rsid w:val="0013267E"/>
    <w:rsid w:val="001351C4"/>
    <w:rsid w:val="00140784"/>
    <w:rsid w:val="00146445"/>
    <w:rsid w:val="001505AE"/>
    <w:rsid w:val="00150869"/>
    <w:rsid w:val="001559E7"/>
    <w:rsid w:val="00163E7C"/>
    <w:rsid w:val="00165E55"/>
    <w:rsid w:val="00172A27"/>
    <w:rsid w:val="001732F2"/>
    <w:rsid w:val="00174716"/>
    <w:rsid w:val="00180D31"/>
    <w:rsid w:val="00181249"/>
    <w:rsid w:val="00182F1E"/>
    <w:rsid w:val="001849E2"/>
    <w:rsid w:val="0018716E"/>
    <w:rsid w:val="0018776C"/>
    <w:rsid w:val="0019019A"/>
    <w:rsid w:val="00190364"/>
    <w:rsid w:val="00192AF6"/>
    <w:rsid w:val="0019573C"/>
    <w:rsid w:val="00196FD2"/>
    <w:rsid w:val="001B288F"/>
    <w:rsid w:val="001C452E"/>
    <w:rsid w:val="001C4A58"/>
    <w:rsid w:val="001C4BD9"/>
    <w:rsid w:val="001C647B"/>
    <w:rsid w:val="001D0060"/>
    <w:rsid w:val="001E04F7"/>
    <w:rsid w:val="001E0DD3"/>
    <w:rsid w:val="001E6559"/>
    <w:rsid w:val="001E65FA"/>
    <w:rsid w:val="001F2E0C"/>
    <w:rsid w:val="001F52E9"/>
    <w:rsid w:val="001F5581"/>
    <w:rsid w:val="002026EA"/>
    <w:rsid w:val="00202EEA"/>
    <w:rsid w:val="002111D0"/>
    <w:rsid w:val="00212067"/>
    <w:rsid w:val="0021206B"/>
    <w:rsid w:val="00212AD5"/>
    <w:rsid w:val="002170C0"/>
    <w:rsid w:val="00220EC8"/>
    <w:rsid w:val="00223328"/>
    <w:rsid w:val="00224AA2"/>
    <w:rsid w:val="00224DEB"/>
    <w:rsid w:val="00225D07"/>
    <w:rsid w:val="002264F3"/>
    <w:rsid w:val="00230435"/>
    <w:rsid w:val="002334E4"/>
    <w:rsid w:val="002362BD"/>
    <w:rsid w:val="002369A5"/>
    <w:rsid w:val="002436AB"/>
    <w:rsid w:val="00243785"/>
    <w:rsid w:val="00250130"/>
    <w:rsid w:val="00251563"/>
    <w:rsid w:val="00256EEC"/>
    <w:rsid w:val="00257F90"/>
    <w:rsid w:val="00264544"/>
    <w:rsid w:val="00266533"/>
    <w:rsid w:val="0027328B"/>
    <w:rsid w:val="0028006E"/>
    <w:rsid w:val="00280577"/>
    <w:rsid w:val="002834F6"/>
    <w:rsid w:val="00286536"/>
    <w:rsid w:val="00287E0A"/>
    <w:rsid w:val="002900C3"/>
    <w:rsid w:val="002A1E8E"/>
    <w:rsid w:val="002B033D"/>
    <w:rsid w:val="002B75E8"/>
    <w:rsid w:val="002C0C45"/>
    <w:rsid w:val="002C2951"/>
    <w:rsid w:val="002C46DA"/>
    <w:rsid w:val="002C52F9"/>
    <w:rsid w:val="002D436F"/>
    <w:rsid w:val="002D6F8E"/>
    <w:rsid w:val="002E5FDE"/>
    <w:rsid w:val="002E71E1"/>
    <w:rsid w:val="002E79BC"/>
    <w:rsid w:val="002F5A5B"/>
    <w:rsid w:val="002F6E00"/>
    <w:rsid w:val="002F7CA1"/>
    <w:rsid w:val="002F7F31"/>
    <w:rsid w:val="00300C2A"/>
    <w:rsid w:val="00305BDC"/>
    <w:rsid w:val="00306DDC"/>
    <w:rsid w:val="00307CD9"/>
    <w:rsid w:val="00311324"/>
    <w:rsid w:val="00315DFD"/>
    <w:rsid w:val="00317034"/>
    <w:rsid w:val="00320CC1"/>
    <w:rsid w:val="00324612"/>
    <w:rsid w:val="00332BF8"/>
    <w:rsid w:val="00333793"/>
    <w:rsid w:val="00333BD0"/>
    <w:rsid w:val="00333E9B"/>
    <w:rsid w:val="00334C9F"/>
    <w:rsid w:val="00336620"/>
    <w:rsid w:val="00340E6F"/>
    <w:rsid w:val="00341E77"/>
    <w:rsid w:val="00342399"/>
    <w:rsid w:val="00343523"/>
    <w:rsid w:val="0034710B"/>
    <w:rsid w:val="00347BDE"/>
    <w:rsid w:val="00351066"/>
    <w:rsid w:val="003534A4"/>
    <w:rsid w:val="00357C50"/>
    <w:rsid w:val="00364409"/>
    <w:rsid w:val="00366A3E"/>
    <w:rsid w:val="00367314"/>
    <w:rsid w:val="00370602"/>
    <w:rsid w:val="003723A5"/>
    <w:rsid w:val="003737DF"/>
    <w:rsid w:val="0038049B"/>
    <w:rsid w:val="00381B3E"/>
    <w:rsid w:val="003840CF"/>
    <w:rsid w:val="00391B61"/>
    <w:rsid w:val="003920AF"/>
    <w:rsid w:val="00392422"/>
    <w:rsid w:val="0039415B"/>
    <w:rsid w:val="00395594"/>
    <w:rsid w:val="00396376"/>
    <w:rsid w:val="003977C7"/>
    <w:rsid w:val="003A0E27"/>
    <w:rsid w:val="003A2048"/>
    <w:rsid w:val="003A228A"/>
    <w:rsid w:val="003A2974"/>
    <w:rsid w:val="003A4373"/>
    <w:rsid w:val="003A4931"/>
    <w:rsid w:val="003B3EA4"/>
    <w:rsid w:val="003B5957"/>
    <w:rsid w:val="003B7133"/>
    <w:rsid w:val="003B79B9"/>
    <w:rsid w:val="003C6710"/>
    <w:rsid w:val="003C7185"/>
    <w:rsid w:val="003D2FBE"/>
    <w:rsid w:val="003D6803"/>
    <w:rsid w:val="003D760C"/>
    <w:rsid w:val="003E074E"/>
    <w:rsid w:val="003E286A"/>
    <w:rsid w:val="003E679D"/>
    <w:rsid w:val="003F167C"/>
    <w:rsid w:val="003F5B03"/>
    <w:rsid w:val="003F78CE"/>
    <w:rsid w:val="00407C9D"/>
    <w:rsid w:val="00411BBC"/>
    <w:rsid w:val="00413E38"/>
    <w:rsid w:val="00420115"/>
    <w:rsid w:val="00422256"/>
    <w:rsid w:val="00422C70"/>
    <w:rsid w:val="00424AC5"/>
    <w:rsid w:val="00425623"/>
    <w:rsid w:val="00425B77"/>
    <w:rsid w:val="0042735B"/>
    <w:rsid w:val="00434136"/>
    <w:rsid w:val="00435E67"/>
    <w:rsid w:val="00441244"/>
    <w:rsid w:val="00445377"/>
    <w:rsid w:val="00450DEB"/>
    <w:rsid w:val="00452541"/>
    <w:rsid w:val="00453F3C"/>
    <w:rsid w:val="00455CFC"/>
    <w:rsid w:val="004655F4"/>
    <w:rsid w:val="00467F45"/>
    <w:rsid w:val="00481724"/>
    <w:rsid w:val="00485F00"/>
    <w:rsid w:val="00486128"/>
    <w:rsid w:val="0048730E"/>
    <w:rsid w:val="00490CF8"/>
    <w:rsid w:val="00493AD9"/>
    <w:rsid w:val="0049584A"/>
    <w:rsid w:val="004A06D9"/>
    <w:rsid w:val="004A0C85"/>
    <w:rsid w:val="004A1B70"/>
    <w:rsid w:val="004A743B"/>
    <w:rsid w:val="004B146A"/>
    <w:rsid w:val="004B3A32"/>
    <w:rsid w:val="004B3DF7"/>
    <w:rsid w:val="004B7D2E"/>
    <w:rsid w:val="004C0973"/>
    <w:rsid w:val="004C54FE"/>
    <w:rsid w:val="004D050B"/>
    <w:rsid w:val="004D4673"/>
    <w:rsid w:val="004D6364"/>
    <w:rsid w:val="004D79C1"/>
    <w:rsid w:val="004E45E3"/>
    <w:rsid w:val="004E4EA7"/>
    <w:rsid w:val="004F10EE"/>
    <w:rsid w:val="004F2FAB"/>
    <w:rsid w:val="004F307F"/>
    <w:rsid w:val="004F3384"/>
    <w:rsid w:val="004F3F16"/>
    <w:rsid w:val="004F6B0B"/>
    <w:rsid w:val="004F732C"/>
    <w:rsid w:val="00514FC6"/>
    <w:rsid w:val="0051751E"/>
    <w:rsid w:val="005204F9"/>
    <w:rsid w:val="0052266E"/>
    <w:rsid w:val="00523FB4"/>
    <w:rsid w:val="005301E7"/>
    <w:rsid w:val="00550BF1"/>
    <w:rsid w:val="00554216"/>
    <w:rsid w:val="00562547"/>
    <w:rsid w:val="00566ECB"/>
    <w:rsid w:val="00567FD3"/>
    <w:rsid w:val="00574821"/>
    <w:rsid w:val="00575CF2"/>
    <w:rsid w:val="005766B4"/>
    <w:rsid w:val="005806B7"/>
    <w:rsid w:val="0058393D"/>
    <w:rsid w:val="005863EB"/>
    <w:rsid w:val="00591811"/>
    <w:rsid w:val="0059298A"/>
    <w:rsid w:val="005945D3"/>
    <w:rsid w:val="00594AC4"/>
    <w:rsid w:val="005A0F77"/>
    <w:rsid w:val="005A365F"/>
    <w:rsid w:val="005A7D0B"/>
    <w:rsid w:val="005B2C03"/>
    <w:rsid w:val="005B555D"/>
    <w:rsid w:val="005B5E40"/>
    <w:rsid w:val="005B623B"/>
    <w:rsid w:val="005B6DF6"/>
    <w:rsid w:val="005B72F8"/>
    <w:rsid w:val="005C4CBA"/>
    <w:rsid w:val="005C613F"/>
    <w:rsid w:val="005C7814"/>
    <w:rsid w:val="005C79AE"/>
    <w:rsid w:val="005D0BCD"/>
    <w:rsid w:val="005D4813"/>
    <w:rsid w:val="005E467A"/>
    <w:rsid w:val="005E632D"/>
    <w:rsid w:val="005F4A5B"/>
    <w:rsid w:val="006078C9"/>
    <w:rsid w:val="00610FBA"/>
    <w:rsid w:val="00622C32"/>
    <w:rsid w:val="0062591F"/>
    <w:rsid w:val="00626931"/>
    <w:rsid w:val="0063247F"/>
    <w:rsid w:val="006331B5"/>
    <w:rsid w:val="0064013E"/>
    <w:rsid w:val="00640DF6"/>
    <w:rsid w:val="006448B9"/>
    <w:rsid w:val="00646279"/>
    <w:rsid w:val="0064646F"/>
    <w:rsid w:val="0064740A"/>
    <w:rsid w:val="00650F17"/>
    <w:rsid w:val="00653540"/>
    <w:rsid w:val="006603E9"/>
    <w:rsid w:val="00661BD4"/>
    <w:rsid w:val="0066423D"/>
    <w:rsid w:val="0066539F"/>
    <w:rsid w:val="0066710E"/>
    <w:rsid w:val="0066722C"/>
    <w:rsid w:val="006700E0"/>
    <w:rsid w:val="0067214B"/>
    <w:rsid w:val="0067319F"/>
    <w:rsid w:val="00677C64"/>
    <w:rsid w:val="00680D73"/>
    <w:rsid w:val="00693AFE"/>
    <w:rsid w:val="00693C5F"/>
    <w:rsid w:val="00694CA2"/>
    <w:rsid w:val="00694E61"/>
    <w:rsid w:val="006964FC"/>
    <w:rsid w:val="006A09D9"/>
    <w:rsid w:val="006A3013"/>
    <w:rsid w:val="006B492B"/>
    <w:rsid w:val="006B78A8"/>
    <w:rsid w:val="006C0A13"/>
    <w:rsid w:val="006C49D1"/>
    <w:rsid w:val="006C6A94"/>
    <w:rsid w:val="006D4E86"/>
    <w:rsid w:val="006E0BFC"/>
    <w:rsid w:val="006E0D4E"/>
    <w:rsid w:val="006E292A"/>
    <w:rsid w:val="006E3535"/>
    <w:rsid w:val="006E55F4"/>
    <w:rsid w:val="006E7700"/>
    <w:rsid w:val="006E7EC8"/>
    <w:rsid w:val="006F0D23"/>
    <w:rsid w:val="00701961"/>
    <w:rsid w:val="0070395B"/>
    <w:rsid w:val="00707958"/>
    <w:rsid w:val="007118BA"/>
    <w:rsid w:val="007126B1"/>
    <w:rsid w:val="007134A6"/>
    <w:rsid w:val="0072015D"/>
    <w:rsid w:val="00720FB2"/>
    <w:rsid w:val="00722EF1"/>
    <w:rsid w:val="00726759"/>
    <w:rsid w:val="0073399E"/>
    <w:rsid w:val="00736352"/>
    <w:rsid w:val="00737C8B"/>
    <w:rsid w:val="00745FF6"/>
    <w:rsid w:val="007540E5"/>
    <w:rsid w:val="007544BD"/>
    <w:rsid w:val="00760A24"/>
    <w:rsid w:val="00762458"/>
    <w:rsid w:val="0076301C"/>
    <w:rsid w:val="00766B00"/>
    <w:rsid w:val="0077011C"/>
    <w:rsid w:val="00780AD4"/>
    <w:rsid w:val="00780FFC"/>
    <w:rsid w:val="0078149A"/>
    <w:rsid w:val="00783017"/>
    <w:rsid w:val="00783450"/>
    <w:rsid w:val="007839BB"/>
    <w:rsid w:val="007872F8"/>
    <w:rsid w:val="00790155"/>
    <w:rsid w:val="0079237E"/>
    <w:rsid w:val="007950D5"/>
    <w:rsid w:val="007A23F4"/>
    <w:rsid w:val="007A25BA"/>
    <w:rsid w:val="007B21E1"/>
    <w:rsid w:val="007B70E6"/>
    <w:rsid w:val="007C1245"/>
    <w:rsid w:val="007C1F70"/>
    <w:rsid w:val="007C5DC6"/>
    <w:rsid w:val="007D0982"/>
    <w:rsid w:val="007D1C18"/>
    <w:rsid w:val="007D6C5A"/>
    <w:rsid w:val="007E005A"/>
    <w:rsid w:val="007E0D23"/>
    <w:rsid w:val="007E19FA"/>
    <w:rsid w:val="007E4029"/>
    <w:rsid w:val="007E5B79"/>
    <w:rsid w:val="007E6EB9"/>
    <w:rsid w:val="007F0083"/>
    <w:rsid w:val="00801173"/>
    <w:rsid w:val="00802AA5"/>
    <w:rsid w:val="00804BF5"/>
    <w:rsid w:val="008137A3"/>
    <w:rsid w:val="0081544B"/>
    <w:rsid w:val="008171F7"/>
    <w:rsid w:val="00822D62"/>
    <w:rsid w:val="0083193D"/>
    <w:rsid w:val="00833172"/>
    <w:rsid w:val="00835B1F"/>
    <w:rsid w:val="00835BB1"/>
    <w:rsid w:val="00853E37"/>
    <w:rsid w:val="00855C6B"/>
    <w:rsid w:val="008602A9"/>
    <w:rsid w:val="00862C4C"/>
    <w:rsid w:val="008741A8"/>
    <w:rsid w:val="00876056"/>
    <w:rsid w:val="008760AC"/>
    <w:rsid w:val="008800A8"/>
    <w:rsid w:val="00883BBC"/>
    <w:rsid w:val="00883E00"/>
    <w:rsid w:val="008903C7"/>
    <w:rsid w:val="008913B8"/>
    <w:rsid w:val="00896B20"/>
    <w:rsid w:val="008A0078"/>
    <w:rsid w:val="008A51B3"/>
    <w:rsid w:val="008B073C"/>
    <w:rsid w:val="008B1C13"/>
    <w:rsid w:val="008B414F"/>
    <w:rsid w:val="008B58BA"/>
    <w:rsid w:val="008B5D37"/>
    <w:rsid w:val="008C0239"/>
    <w:rsid w:val="008C3AE5"/>
    <w:rsid w:val="008C5EA9"/>
    <w:rsid w:val="008C74BC"/>
    <w:rsid w:val="008E2C9F"/>
    <w:rsid w:val="008E6F10"/>
    <w:rsid w:val="008F0C7E"/>
    <w:rsid w:val="008F13F2"/>
    <w:rsid w:val="008F3871"/>
    <w:rsid w:val="008F3A8D"/>
    <w:rsid w:val="0090286B"/>
    <w:rsid w:val="00904981"/>
    <w:rsid w:val="00927885"/>
    <w:rsid w:val="009325DE"/>
    <w:rsid w:val="0093382A"/>
    <w:rsid w:val="00936179"/>
    <w:rsid w:val="00941604"/>
    <w:rsid w:val="00942CCC"/>
    <w:rsid w:val="00947E73"/>
    <w:rsid w:val="009529D8"/>
    <w:rsid w:val="0096421C"/>
    <w:rsid w:val="009703F1"/>
    <w:rsid w:val="00970BD5"/>
    <w:rsid w:val="0097127D"/>
    <w:rsid w:val="00972683"/>
    <w:rsid w:val="00973BDE"/>
    <w:rsid w:val="0098379E"/>
    <w:rsid w:val="009844AF"/>
    <w:rsid w:val="009865AA"/>
    <w:rsid w:val="009909F7"/>
    <w:rsid w:val="00990B62"/>
    <w:rsid w:val="00990CE0"/>
    <w:rsid w:val="00993543"/>
    <w:rsid w:val="009A0423"/>
    <w:rsid w:val="009A2DC6"/>
    <w:rsid w:val="009A6298"/>
    <w:rsid w:val="009B30A2"/>
    <w:rsid w:val="009B4B99"/>
    <w:rsid w:val="009C1103"/>
    <w:rsid w:val="009C1500"/>
    <w:rsid w:val="009C4130"/>
    <w:rsid w:val="009C6810"/>
    <w:rsid w:val="009D00D9"/>
    <w:rsid w:val="009D1F92"/>
    <w:rsid w:val="009D5971"/>
    <w:rsid w:val="009D6756"/>
    <w:rsid w:val="009E137C"/>
    <w:rsid w:val="009E193A"/>
    <w:rsid w:val="009E5897"/>
    <w:rsid w:val="009F1A57"/>
    <w:rsid w:val="00A079DB"/>
    <w:rsid w:val="00A1012F"/>
    <w:rsid w:val="00A106EC"/>
    <w:rsid w:val="00A108AA"/>
    <w:rsid w:val="00A10D0D"/>
    <w:rsid w:val="00A12488"/>
    <w:rsid w:val="00A279E1"/>
    <w:rsid w:val="00A307C5"/>
    <w:rsid w:val="00A40CBA"/>
    <w:rsid w:val="00A46901"/>
    <w:rsid w:val="00A46CC8"/>
    <w:rsid w:val="00A51639"/>
    <w:rsid w:val="00A60A91"/>
    <w:rsid w:val="00A64086"/>
    <w:rsid w:val="00A64B28"/>
    <w:rsid w:val="00A6743C"/>
    <w:rsid w:val="00A702E3"/>
    <w:rsid w:val="00A70F36"/>
    <w:rsid w:val="00A73E6F"/>
    <w:rsid w:val="00A74A9B"/>
    <w:rsid w:val="00A74E7D"/>
    <w:rsid w:val="00A74F64"/>
    <w:rsid w:val="00A7558C"/>
    <w:rsid w:val="00A75B9D"/>
    <w:rsid w:val="00A81127"/>
    <w:rsid w:val="00A8470D"/>
    <w:rsid w:val="00A84F15"/>
    <w:rsid w:val="00A879AB"/>
    <w:rsid w:val="00A90916"/>
    <w:rsid w:val="00A91BE4"/>
    <w:rsid w:val="00A9211E"/>
    <w:rsid w:val="00AA13C5"/>
    <w:rsid w:val="00AA3DFD"/>
    <w:rsid w:val="00AA7541"/>
    <w:rsid w:val="00AB1839"/>
    <w:rsid w:val="00AB18AB"/>
    <w:rsid w:val="00AB24AC"/>
    <w:rsid w:val="00AB2E97"/>
    <w:rsid w:val="00AB43BD"/>
    <w:rsid w:val="00AC3CFC"/>
    <w:rsid w:val="00AC4236"/>
    <w:rsid w:val="00AD0062"/>
    <w:rsid w:val="00AD04F5"/>
    <w:rsid w:val="00AD1B3B"/>
    <w:rsid w:val="00AD3859"/>
    <w:rsid w:val="00AD3C9F"/>
    <w:rsid w:val="00AD460B"/>
    <w:rsid w:val="00AD5218"/>
    <w:rsid w:val="00AD7DFA"/>
    <w:rsid w:val="00AE113B"/>
    <w:rsid w:val="00AE1E61"/>
    <w:rsid w:val="00AE4958"/>
    <w:rsid w:val="00AF1739"/>
    <w:rsid w:val="00AF3011"/>
    <w:rsid w:val="00AF6F3E"/>
    <w:rsid w:val="00B00811"/>
    <w:rsid w:val="00B04DE2"/>
    <w:rsid w:val="00B05641"/>
    <w:rsid w:val="00B07E47"/>
    <w:rsid w:val="00B1074F"/>
    <w:rsid w:val="00B11888"/>
    <w:rsid w:val="00B1635A"/>
    <w:rsid w:val="00B217CE"/>
    <w:rsid w:val="00B22053"/>
    <w:rsid w:val="00B22AD5"/>
    <w:rsid w:val="00B23001"/>
    <w:rsid w:val="00B27562"/>
    <w:rsid w:val="00B31151"/>
    <w:rsid w:val="00B3115C"/>
    <w:rsid w:val="00B32112"/>
    <w:rsid w:val="00B36ED5"/>
    <w:rsid w:val="00B44196"/>
    <w:rsid w:val="00B64691"/>
    <w:rsid w:val="00B719CE"/>
    <w:rsid w:val="00B734DE"/>
    <w:rsid w:val="00B73FE8"/>
    <w:rsid w:val="00B75881"/>
    <w:rsid w:val="00B775E3"/>
    <w:rsid w:val="00B81C3E"/>
    <w:rsid w:val="00B826C1"/>
    <w:rsid w:val="00B830C5"/>
    <w:rsid w:val="00B83591"/>
    <w:rsid w:val="00B90E9D"/>
    <w:rsid w:val="00B95579"/>
    <w:rsid w:val="00B95CDC"/>
    <w:rsid w:val="00BA0571"/>
    <w:rsid w:val="00BA1401"/>
    <w:rsid w:val="00BA1A94"/>
    <w:rsid w:val="00BA1D26"/>
    <w:rsid w:val="00BB07FB"/>
    <w:rsid w:val="00BB0CC3"/>
    <w:rsid w:val="00BB0FB8"/>
    <w:rsid w:val="00BB5B82"/>
    <w:rsid w:val="00BC2470"/>
    <w:rsid w:val="00BC4195"/>
    <w:rsid w:val="00BD2CFF"/>
    <w:rsid w:val="00BE1C4C"/>
    <w:rsid w:val="00BE72AF"/>
    <w:rsid w:val="00BF2046"/>
    <w:rsid w:val="00BF544F"/>
    <w:rsid w:val="00BF6FC3"/>
    <w:rsid w:val="00C03881"/>
    <w:rsid w:val="00C062CB"/>
    <w:rsid w:val="00C1020C"/>
    <w:rsid w:val="00C12E16"/>
    <w:rsid w:val="00C2220F"/>
    <w:rsid w:val="00C25DD0"/>
    <w:rsid w:val="00C33B30"/>
    <w:rsid w:val="00C36C02"/>
    <w:rsid w:val="00C3798E"/>
    <w:rsid w:val="00C412CC"/>
    <w:rsid w:val="00C4299F"/>
    <w:rsid w:val="00C4367F"/>
    <w:rsid w:val="00C4369F"/>
    <w:rsid w:val="00C43B58"/>
    <w:rsid w:val="00C43FDF"/>
    <w:rsid w:val="00C45E03"/>
    <w:rsid w:val="00C525AC"/>
    <w:rsid w:val="00C55E9C"/>
    <w:rsid w:val="00C623A9"/>
    <w:rsid w:val="00C636E6"/>
    <w:rsid w:val="00C643C9"/>
    <w:rsid w:val="00C6512E"/>
    <w:rsid w:val="00C7176D"/>
    <w:rsid w:val="00C745A1"/>
    <w:rsid w:val="00C7596B"/>
    <w:rsid w:val="00C80539"/>
    <w:rsid w:val="00C82242"/>
    <w:rsid w:val="00C826C9"/>
    <w:rsid w:val="00C87C7E"/>
    <w:rsid w:val="00C9189F"/>
    <w:rsid w:val="00C93570"/>
    <w:rsid w:val="00C9604A"/>
    <w:rsid w:val="00CA09E7"/>
    <w:rsid w:val="00CA22C7"/>
    <w:rsid w:val="00CA629B"/>
    <w:rsid w:val="00CB0842"/>
    <w:rsid w:val="00CB6A56"/>
    <w:rsid w:val="00CC1E8C"/>
    <w:rsid w:val="00CC2123"/>
    <w:rsid w:val="00CC2C5D"/>
    <w:rsid w:val="00CD4D03"/>
    <w:rsid w:val="00CD4EB4"/>
    <w:rsid w:val="00CE020B"/>
    <w:rsid w:val="00CE576B"/>
    <w:rsid w:val="00CE73B6"/>
    <w:rsid w:val="00CF13D1"/>
    <w:rsid w:val="00CF5BF8"/>
    <w:rsid w:val="00CF7A22"/>
    <w:rsid w:val="00D00B29"/>
    <w:rsid w:val="00D00CD9"/>
    <w:rsid w:val="00D105A3"/>
    <w:rsid w:val="00D12577"/>
    <w:rsid w:val="00D125EB"/>
    <w:rsid w:val="00D149F1"/>
    <w:rsid w:val="00D21CA7"/>
    <w:rsid w:val="00D42352"/>
    <w:rsid w:val="00D43461"/>
    <w:rsid w:val="00D45135"/>
    <w:rsid w:val="00D46010"/>
    <w:rsid w:val="00D47F13"/>
    <w:rsid w:val="00D50112"/>
    <w:rsid w:val="00D63B4A"/>
    <w:rsid w:val="00D643E9"/>
    <w:rsid w:val="00D64587"/>
    <w:rsid w:val="00D66438"/>
    <w:rsid w:val="00D75600"/>
    <w:rsid w:val="00D77969"/>
    <w:rsid w:val="00D80CA9"/>
    <w:rsid w:val="00D80CCF"/>
    <w:rsid w:val="00D81DC5"/>
    <w:rsid w:val="00D83800"/>
    <w:rsid w:val="00D91075"/>
    <w:rsid w:val="00D912BC"/>
    <w:rsid w:val="00D96BF8"/>
    <w:rsid w:val="00DA1CBE"/>
    <w:rsid w:val="00DB31A1"/>
    <w:rsid w:val="00DB5949"/>
    <w:rsid w:val="00DB73DB"/>
    <w:rsid w:val="00DC1106"/>
    <w:rsid w:val="00DD37F8"/>
    <w:rsid w:val="00DD6002"/>
    <w:rsid w:val="00DD75CC"/>
    <w:rsid w:val="00DE30D3"/>
    <w:rsid w:val="00DF0117"/>
    <w:rsid w:val="00DF18B6"/>
    <w:rsid w:val="00DF642B"/>
    <w:rsid w:val="00DF7B78"/>
    <w:rsid w:val="00E0066A"/>
    <w:rsid w:val="00E00678"/>
    <w:rsid w:val="00E039E8"/>
    <w:rsid w:val="00E03C09"/>
    <w:rsid w:val="00E053CA"/>
    <w:rsid w:val="00E07E2F"/>
    <w:rsid w:val="00E11B73"/>
    <w:rsid w:val="00E13EEE"/>
    <w:rsid w:val="00E14889"/>
    <w:rsid w:val="00E16198"/>
    <w:rsid w:val="00E20738"/>
    <w:rsid w:val="00E22D77"/>
    <w:rsid w:val="00E259EA"/>
    <w:rsid w:val="00E27397"/>
    <w:rsid w:val="00E30B50"/>
    <w:rsid w:val="00E32680"/>
    <w:rsid w:val="00E3282B"/>
    <w:rsid w:val="00E35970"/>
    <w:rsid w:val="00E37618"/>
    <w:rsid w:val="00E4025B"/>
    <w:rsid w:val="00E45276"/>
    <w:rsid w:val="00E50CBA"/>
    <w:rsid w:val="00E5142E"/>
    <w:rsid w:val="00E534DB"/>
    <w:rsid w:val="00E54D02"/>
    <w:rsid w:val="00E55FD9"/>
    <w:rsid w:val="00E57019"/>
    <w:rsid w:val="00E63230"/>
    <w:rsid w:val="00E6373A"/>
    <w:rsid w:val="00E676F7"/>
    <w:rsid w:val="00E7086C"/>
    <w:rsid w:val="00E7086E"/>
    <w:rsid w:val="00E71B91"/>
    <w:rsid w:val="00E735ED"/>
    <w:rsid w:val="00E76761"/>
    <w:rsid w:val="00E77B0B"/>
    <w:rsid w:val="00E85F7B"/>
    <w:rsid w:val="00E8758A"/>
    <w:rsid w:val="00E90678"/>
    <w:rsid w:val="00E91556"/>
    <w:rsid w:val="00E927A7"/>
    <w:rsid w:val="00E94D9E"/>
    <w:rsid w:val="00E96BE1"/>
    <w:rsid w:val="00E97733"/>
    <w:rsid w:val="00E97D2E"/>
    <w:rsid w:val="00EA0AEE"/>
    <w:rsid w:val="00EA3163"/>
    <w:rsid w:val="00EA3679"/>
    <w:rsid w:val="00EA77C2"/>
    <w:rsid w:val="00EB0F23"/>
    <w:rsid w:val="00EB6CF3"/>
    <w:rsid w:val="00EC2756"/>
    <w:rsid w:val="00EC4E18"/>
    <w:rsid w:val="00EE37C8"/>
    <w:rsid w:val="00EE616E"/>
    <w:rsid w:val="00EF19B6"/>
    <w:rsid w:val="00F02E67"/>
    <w:rsid w:val="00F07DCF"/>
    <w:rsid w:val="00F12726"/>
    <w:rsid w:val="00F1365F"/>
    <w:rsid w:val="00F16507"/>
    <w:rsid w:val="00F16A04"/>
    <w:rsid w:val="00F172DB"/>
    <w:rsid w:val="00F23D92"/>
    <w:rsid w:val="00F24650"/>
    <w:rsid w:val="00F25E04"/>
    <w:rsid w:val="00F2689E"/>
    <w:rsid w:val="00F2773C"/>
    <w:rsid w:val="00F31D4C"/>
    <w:rsid w:val="00F3207E"/>
    <w:rsid w:val="00F32B67"/>
    <w:rsid w:val="00F33397"/>
    <w:rsid w:val="00F33FB2"/>
    <w:rsid w:val="00F40190"/>
    <w:rsid w:val="00F40AA2"/>
    <w:rsid w:val="00F430DF"/>
    <w:rsid w:val="00F45954"/>
    <w:rsid w:val="00F45F62"/>
    <w:rsid w:val="00F479F7"/>
    <w:rsid w:val="00F50101"/>
    <w:rsid w:val="00F50658"/>
    <w:rsid w:val="00F5221B"/>
    <w:rsid w:val="00F534C5"/>
    <w:rsid w:val="00F5630C"/>
    <w:rsid w:val="00F57D11"/>
    <w:rsid w:val="00F60473"/>
    <w:rsid w:val="00F62AC2"/>
    <w:rsid w:val="00F62E33"/>
    <w:rsid w:val="00F639AA"/>
    <w:rsid w:val="00F669B5"/>
    <w:rsid w:val="00F70CF8"/>
    <w:rsid w:val="00F74A15"/>
    <w:rsid w:val="00F779BA"/>
    <w:rsid w:val="00F8042D"/>
    <w:rsid w:val="00F85181"/>
    <w:rsid w:val="00F85C6C"/>
    <w:rsid w:val="00F86963"/>
    <w:rsid w:val="00FA09D1"/>
    <w:rsid w:val="00FA17E2"/>
    <w:rsid w:val="00FA3EF7"/>
    <w:rsid w:val="00FA421F"/>
    <w:rsid w:val="00FA5A7D"/>
    <w:rsid w:val="00FA6503"/>
    <w:rsid w:val="00FB082F"/>
    <w:rsid w:val="00FB4220"/>
    <w:rsid w:val="00FC3905"/>
    <w:rsid w:val="00FD3174"/>
    <w:rsid w:val="00FD4F40"/>
    <w:rsid w:val="00FD5A31"/>
    <w:rsid w:val="00FD5ABF"/>
    <w:rsid w:val="00FD67BA"/>
    <w:rsid w:val="00FD7D71"/>
    <w:rsid w:val="00FE6038"/>
    <w:rsid w:val="00FE7DA0"/>
    <w:rsid w:val="00FF1C7D"/>
    <w:rsid w:val="00FF46BB"/>
    <w:rsid w:val="00FF5E49"/>
    <w:rsid w:val="01116DA8"/>
    <w:rsid w:val="01610611"/>
    <w:rsid w:val="018E717F"/>
    <w:rsid w:val="024B3FEE"/>
    <w:rsid w:val="02694BF5"/>
    <w:rsid w:val="02B04D6A"/>
    <w:rsid w:val="02DD2A75"/>
    <w:rsid w:val="02E71D9A"/>
    <w:rsid w:val="044155BB"/>
    <w:rsid w:val="049D6DFD"/>
    <w:rsid w:val="04B66573"/>
    <w:rsid w:val="04C568D1"/>
    <w:rsid w:val="05171D46"/>
    <w:rsid w:val="051E1B0B"/>
    <w:rsid w:val="053E4A92"/>
    <w:rsid w:val="05E06F2E"/>
    <w:rsid w:val="062E415F"/>
    <w:rsid w:val="063C3029"/>
    <w:rsid w:val="064471A6"/>
    <w:rsid w:val="066E5C41"/>
    <w:rsid w:val="06947AAC"/>
    <w:rsid w:val="06CB23C0"/>
    <w:rsid w:val="075D6EE1"/>
    <w:rsid w:val="07A80EC8"/>
    <w:rsid w:val="07C04427"/>
    <w:rsid w:val="07EE4ACA"/>
    <w:rsid w:val="09664B1B"/>
    <w:rsid w:val="0997402A"/>
    <w:rsid w:val="09AD46A5"/>
    <w:rsid w:val="09C7567F"/>
    <w:rsid w:val="0A0F268D"/>
    <w:rsid w:val="0AB57CE7"/>
    <w:rsid w:val="0AC811E9"/>
    <w:rsid w:val="0B097D41"/>
    <w:rsid w:val="0B2B1774"/>
    <w:rsid w:val="0B8260DB"/>
    <w:rsid w:val="0BB2324C"/>
    <w:rsid w:val="0C75023F"/>
    <w:rsid w:val="0C994D49"/>
    <w:rsid w:val="0C9E28BC"/>
    <w:rsid w:val="0CE423D6"/>
    <w:rsid w:val="0D62447C"/>
    <w:rsid w:val="0DB81109"/>
    <w:rsid w:val="0DF119DC"/>
    <w:rsid w:val="0E4616DB"/>
    <w:rsid w:val="0E5069BB"/>
    <w:rsid w:val="0E9463F6"/>
    <w:rsid w:val="0EB3503E"/>
    <w:rsid w:val="0F70672E"/>
    <w:rsid w:val="0FA01857"/>
    <w:rsid w:val="0FD751D3"/>
    <w:rsid w:val="0FEE3F68"/>
    <w:rsid w:val="100B5102"/>
    <w:rsid w:val="1026647F"/>
    <w:rsid w:val="10380514"/>
    <w:rsid w:val="10832D43"/>
    <w:rsid w:val="11153BD2"/>
    <w:rsid w:val="119D609E"/>
    <w:rsid w:val="11B0689F"/>
    <w:rsid w:val="11BC6200"/>
    <w:rsid w:val="11C176A5"/>
    <w:rsid w:val="123C46EC"/>
    <w:rsid w:val="12402C7D"/>
    <w:rsid w:val="125B7090"/>
    <w:rsid w:val="12A878E8"/>
    <w:rsid w:val="12FB6110"/>
    <w:rsid w:val="13BC128C"/>
    <w:rsid w:val="14657109"/>
    <w:rsid w:val="14CB2B9A"/>
    <w:rsid w:val="14EE20C5"/>
    <w:rsid w:val="14FF0CE9"/>
    <w:rsid w:val="150013C4"/>
    <w:rsid w:val="153A60F7"/>
    <w:rsid w:val="15477744"/>
    <w:rsid w:val="15635F65"/>
    <w:rsid w:val="156A3FFC"/>
    <w:rsid w:val="15C57CBC"/>
    <w:rsid w:val="15E00A0F"/>
    <w:rsid w:val="15E91EE9"/>
    <w:rsid w:val="16193085"/>
    <w:rsid w:val="162D0289"/>
    <w:rsid w:val="16843037"/>
    <w:rsid w:val="168F5282"/>
    <w:rsid w:val="16B67073"/>
    <w:rsid w:val="16F162AB"/>
    <w:rsid w:val="17514CDF"/>
    <w:rsid w:val="17CC7EA2"/>
    <w:rsid w:val="17D40F06"/>
    <w:rsid w:val="18180C0C"/>
    <w:rsid w:val="18453309"/>
    <w:rsid w:val="18EA6450"/>
    <w:rsid w:val="195A30B5"/>
    <w:rsid w:val="196725BE"/>
    <w:rsid w:val="199E4586"/>
    <w:rsid w:val="19A9162D"/>
    <w:rsid w:val="19F34B8F"/>
    <w:rsid w:val="1BCE62C8"/>
    <w:rsid w:val="1BD92E82"/>
    <w:rsid w:val="1C2D30C9"/>
    <w:rsid w:val="1C6B5445"/>
    <w:rsid w:val="1CBB7B16"/>
    <w:rsid w:val="1D5223C2"/>
    <w:rsid w:val="1D534C08"/>
    <w:rsid w:val="1D655101"/>
    <w:rsid w:val="1DD65853"/>
    <w:rsid w:val="1E2044EA"/>
    <w:rsid w:val="1E966A1A"/>
    <w:rsid w:val="1F243374"/>
    <w:rsid w:val="1FA20FE6"/>
    <w:rsid w:val="20AD6EAE"/>
    <w:rsid w:val="212D69FF"/>
    <w:rsid w:val="21722310"/>
    <w:rsid w:val="21843FA8"/>
    <w:rsid w:val="21B0404E"/>
    <w:rsid w:val="21C54634"/>
    <w:rsid w:val="21F00004"/>
    <w:rsid w:val="22BA4D37"/>
    <w:rsid w:val="23306F28"/>
    <w:rsid w:val="23453E27"/>
    <w:rsid w:val="23CC5846"/>
    <w:rsid w:val="23D04AA3"/>
    <w:rsid w:val="242971B0"/>
    <w:rsid w:val="24566CA1"/>
    <w:rsid w:val="24675E9A"/>
    <w:rsid w:val="24DE7F99"/>
    <w:rsid w:val="24E41A7F"/>
    <w:rsid w:val="25692B8D"/>
    <w:rsid w:val="256F0B8C"/>
    <w:rsid w:val="25E722F6"/>
    <w:rsid w:val="265044C8"/>
    <w:rsid w:val="267A63EB"/>
    <w:rsid w:val="26852535"/>
    <w:rsid w:val="26A76454"/>
    <w:rsid w:val="26AE14CF"/>
    <w:rsid w:val="26D61D87"/>
    <w:rsid w:val="274B76DE"/>
    <w:rsid w:val="28995D13"/>
    <w:rsid w:val="28CD5964"/>
    <w:rsid w:val="29E2253A"/>
    <w:rsid w:val="2A1936CA"/>
    <w:rsid w:val="2A1B793F"/>
    <w:rsid w:val="2B081754"/>
    <w:rsid w:val="2B091BD3"/>
    <w:rsid w:val="2B436833"/>
    <w:rsid w:val="2B5368A7"/>
    <w:rsid w:val="2C1D3E9C"/>
    <w:rsid w:val="2C422200"/>
    <w:rsid w:val="2C58319A"/>
    <w:rsid w:val="2C774A25"/>
    <w:rsid w:val="2C92391E"/>
    <w:rsid w:val="2CCD4E18"/>
    <w:rsid w:val="2DE4214E"/>
    <w:rsid w:val="2F1A14EB"/>
    <w:rsid w:val="2F1E0F22"/>
    <w:rsid w:val="2F8A3997"/>
    <w:rsid w:val="2FCB09D1"/>
    <w:rsid w:val="2FFD5355"/>
    <w:rsid w:val="30471812"/>
    <w:rsid w:val="305B1D6F"/>
    <w:rsid w:val="30A152DA"/>
    <w:rsid w:val="30AC0A88"/>
    <w:rsid w:val="32083E8E"/>
    <w:rsid w:val="32687933"/>
    <w:rsid w:val="334F3B22"/>
    <w:rsid w:val="336E7FF1"/>
    <w:rsid w:val="336F72A4"/>
    <w:rsid w:val="34B95129"/>
    <w:rsid w:val="34BB33B9"/>
    <w:rsid w:val="34D5751C"/>
    <w:rsid w:val="355A22B3"/>
    <w:rsid w:val="36932FF8"/>
    <w:rsid w:val="38C05785"/>
    <w:rsid w:val="394739C7"/>
    <w:rsid w:val="3AB05828"/>
    <w:rsid w:val="3AEB7649"/>
    <w:rsid w:val="3B636314"/>
    <w:rsid w:val="3C1103D5"/>
    <w:rsid w:val="3CEF599B"/>
    <w:rsid w:val="3CFB0943"/>
    <w:rsid w:val="3D967BFD"/>
    <w:rsid w:val="3D9D7E5B"/>
    <w:rsid w:val="3DBB4D56"/>
    <w:rsid w:val="3DBC3B4B"/>
    <w:rsid w:val="3E057E5D"/>
    <w:rsid w:val="3F170804"/>
    <w:rsid w:val="3F2B6983"/>
    <w:rsid w:val="3F910FED"/>
    <w:rsid w:val="3FDA5B61"/>
    <w:rsid w:val="401F328D"/>
    <w:rsid w:val="41266217"/>
    <w:rsid w:val="42183E6E"/>
    <w:rsid w:val="42C90073"/>
    <w:rsid w:val="42CF6F9F"/>
    <w:rsid w:val="43235C04"/>
    <w:rsid w:val="435D2BA3"/>
    <w:rsid w:val="437B168B"/>
    <w:rsid w:val="44301E29"/>
    <w:rsid w:val="44603FEC"/>
    <w:rsid w:val="44C26B96"/>
    <w:rsid w:val="44ED5D58"/>
    <w:rsid w:val="45434D5F"/>
    <w:rsid w:val="455E1B79"/>
    <w:rsid w:val="45910940"/>
    <w:rsid w:val="45C57A4F"/>
    <w:rsid w:val="45F56D27"/>
    <w:rsid w:val="47950C4F"/>
    <w:rsid w:val="47A21A8F"/>
    <w:rsid w:val="47A57DB3"/>
    <w:rsid w:val="481B6106"/>
    <w:rsid w:val="482F185E"/>
    <w:rsid w:val="485F1865"/>
    <w:rsid w:val="487B008D"/>
    <w:rsid w:val="48EE4460"/>
    <w:rsid w:val="48FF00BE"/>
    <w:rsid w:val="49866927"/>
    <w:rsid w:val="49FF4BA4"/>
    <w:rsid w:val="4A807D55"/>
    <w:rsid w:val="4A911536"/>
    <w:rsid w:val="4AB57861"/>
    <w:rsid w:val="4ABB5E46"/>
    <w:rsid w:val="4AF22EC8"/>
    <w:rsid w:val="4B6852B2"/>
    <w:rsid w:val="4BC16643"/>
    <w:rsid w:val="4C7314DF"/>
    <w:rsid w:val="4C7F4DE2"/>
    <w:rsid w:val="4C9814C1"/>
    <w:rsid w:val="4D3A6E08"/>
    <w:rsid w:val="4DC93B10"/>
    <w:rsid w:val="4E77237D"/>
    <w:rsid w:val="4EB872AC"/>
    <w:rsid w:val="4EDF3722"/>
    <w:rsid w:val="4EFE5A51"/>
    <w:rsid w:val="4F7D436F"/>
    <w:rsid w:val="4F8F6DCD"/>
    <w:rsid w:val="4F93469F"/>
    <w:rsid w:val="4FEE3E51"/>
    <w:rsid w:val="4FFC0C7E"/>
    <w:rsid w:val="502422B1"/>
    <w:rsid w:val="5090031D"/>
    <w:rsid w:val="50A4245D"/>
    <w:rsid w:val="50C97069"/>
    <w:rsid w:val="516C652E"/>
    <w:rsid w:val="51AC0CA2"/>
    <w:rsid w:val="521C4028"/>
    <w:rsid w:val="524B6C45"/>
    <w:rsid w:val="535C14F3"/>
    <w:rsid w:val="535D5E40"/>
    <w:rsid w:val="53BB03E9"/>
    <w:rsid w:val="54212C2A"/>
    <w:rsid w:val="542D51DB"/>
    <w:rsid w:val="54326F39"/>
    <w:rsid w:val="54E84FD2"/>
    <w:rsid w:val="558D6F80"/>
    <w:rsid w:val="55B01204"/>
    <w:rsid w:val="55C0688F"/>
    <w:rsid w:val="562708ED"/>
    <w:rsid w:val="563B237A"/>
    <w:rsid w:val="563C4B84"/>
    <w:rsid w:val="569503EE"/>
    <w:rsid w:val="56C307B9"/>
    <w:rsid w:val="56E376FA"/>
    <w:rsid w:val="574229F3"/>
    <w:rsid w:val="57A71AC0"/>
    <w:rsid w:val="57C42A14"/>
    <w:rsid w:val="58250756"/>
    <w:rsid w:val="591114FF"/>
    <w:rsid w:val="5987049D"/>
    <w:rsid w:val="59F46FBE"/>
    <w:rsid w:val="5A48212F"/>
    <w:rsid w:val="5A5037F1"/>
    <w:rsid w:val="5AEA24A0"/>
    <w:rsid w:val="5B1C63AC"/>
    <w:rsid w:val="5B39355C"/>
    <w:rsid w:val="5BDE03A5"/>
    <w:rsid w:val="5CF075CB"/>
    <w:rsid w:val="5D0D1408"/>
    <w:rsid w:val="5DDE06C9"/>
    <w:rsid w:val="5E0F08EF"/>
    <w:rsid w:val="5ECA5A96"/>
    <w:rsid w:val="5F6857D0"/>
    <w:rsid w:val="5FDB6D21"/>
    <w:rsid w:val="5FFF72A4"/>
    <w:rsid w:val="60251519"/>
    <w:rsid w:val="60681418"/>
    <w:rsid w:val="611F39AC"/>
    <w:rsid w:val="612E0DE2"/>
    <w:rsid w:val="61A32B88"/>
    <w:rsid w:val="62596298"/>
    <w:rsid w:val="62EA62A7"/>
    <w:rsid w:val="63321889"/>
    <w:rsid w:val="64015FC7"/>
    <w:rsid w:val="640713E7"/>
    <w:rsid w:val="64E94FB5"/>
    <w:rsid w:val="6520192E"/>
    <w:rsid w:val="65CA447A"/>
    <w:rsid w:val="65EF5ACB"/>
    <w:rsid w:val="666F7CF6"/>
    <w:rsid w:val="66FA6DD1"/>
    <w:rsid w:val="67AF0E2E"/>
    <w:rsid w:val="68127E96"/>
    <w:rsid w:val="681B7E65"/>
    <w:rsid w:val="69381E4F"/>
    <w:rsid w:val="6994704B"/>
    <w:rsid w:val="69D8220C"/>
    <w:rsid w:val="6A09013B"/>
    <w:rsid w:val="6A224DD4"/>
    <w:rsid w:val="6A352070"/>
    <w:rsid w:val="6A6455EB"/>
    <w:rsid w:val="6A732B9C"/>
    <w:rsid w:val="6A875665"/>
    <w:rsid w:val="6ABD6513"/>
    <w:rsid w:val="6B3F7107"/>
    <w:rsid w:val="6B7D5427"/>
    <w:rsid w:val="6BCB460E"/>
    <w:rsid w:val="6BFC33D5"/>
    <w:rsid w:val="6C474DE0"/>
    <w:rsid w:val="6C7121E6"/>
    <w:rsid w:val="6CAC73FA"/>
    <w:rsid w:val="6CBF1A5C"/>
    <w:rsid w:val="6CD9297C"/>
    <w:rsid w:val="6CF340BA"/>
    <w:rsid w:val="6DAA0991"/>
    <w:rsid w:val="6DAF1A11"/>
    <w:rsid w:val="6DBC68D1"/>
    <w:rsid w:val="6E126D9B"/>
    <w:rsid w:val="6E721AC5"/>
    <w:rsid w:val="6F0F1ECB"/>
    <w:rsid w:val="6F937375"/>
    <w:rsid w:val="70540F53"/>
    <w:rsid w:val="70703467"/>
    <w:rsid w:val="707F39F0"/>
    <w:rsid w:val="70FC07ED"/>
    <w:rsid w:val="710C2E2B"/>
    <w:rsid w:val="71294130"/>
    <w:rsid w:val="71DE6134"/>
    <w:rsid w:val="71F65285"/>
    <w:rsid w:val="72320D34"/>
    <w:rsid w:val="72A218A6"/>
    <w:rsid w:val="72D8676D"/>
    <w:rsid w:val="7302137A"/>
    <w:rsid w:val="74257AA3"/>
    <w:rsid w:val="748B4FD5"/>
    <w:rsid w:val="74980230"/>
    <w:rsid w:val="74B22C64"/>
    <w:rsid w:val="74F8008D"/>
    <w:rsid w:val="752B1FC5"/>
    <w:rsid w:val="755B75DC"/>
    <w:rsid w:val="75E714FB"/>
    <w:rsid w:val="75E73569"/>
    <w:rsid w:val="75FE6A3D"/>
    <w:rsid w:val="7751008C"/>
    <w:rsid w:val="77EF553E"/>
    <w:rsid w:val="77F028C8"/>
    <w:rsid w:val="782E26F4"/>
    <w:rsid w:val="78525A7D"/>
    <w:rsid w:val="7919413A"/>
    <w:rsid w:val="797656C8"/>
    <w:rsid w:val="799D0531"/>
    <w:rsid w:val="7A9103EC"/>
    <w:rsid w:val="7B9F744D"/>
    <w:rsid w:val="7BC151B4"/>
    <w:rsid w:val="7C2C141E"/>
    <w:rsid w:val="7D2C76D3"/>
    <w:rsid w:val="7D543D16"/>
    <w:rsid w:val="7DC30FCD"/>
    <w:rsid w:val="7DEC0A54"/>
    <w:rsid w:val="7E6459CD"/>
    <w:rsid w:val="7EBA2261"/>
    <w:rsid w:val="7ED25EF1"/>
    <w:rsid w:val="7ED515FE"/>
    <w:rsid w:val="7EFB1048"/>
    <w:rsid w:val="7EFF6FF8"/>
    <w:rsid w:val="7F3D6DD2"/>
    <w:rsid w:val="7F656BC9"/>
    <w:rsid w:val="7FE742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9" w:semiHidden="0" w:name="heading 3" w:locked="1"/>
    <w:lsdException w:qFormat="1" w:uiPriority="0" w:name="heading 4" w:locked="1"/>
    <w:lsdException w:qFormat="1" w:uiPriority="9"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locked/>
    <w:uiPriority w:val="9"/>
    <w:pPr>
      <w:keepNext/>
      <w:keepLines/>
      <w:widowControl w:val="0"/>
      <w:spacing w:line="360" w:lineRule="auto"/>
      <w:jc w:val="center"/>
      <w:outlineLvl w:val="0"/>
    </w:pPr>
    <w:rPr>
      <w:rFonts w:asciiTheme="minorEastAsia" w:hAnsiTheme="minorEastAsia" w:eastAsiaTheme="minorEastAsia" w:cstheme="majorBidi"/>
      <w:b/>
      <w:kern w:val="44"/>
      <w:sz w:val="32"/>
      <w:szCs w:val="32"/>
      <w:lang w:val="zh-TW" w:eastAsia="zh-CN" w:bidi="ar-SA"/>
    </w:rPr>
  </w:style>
  <w:style w:type="paragraph" w:styleId="4">
    <w:name w:val="heading 2"/>
    <w:basedOn w:val="1"/>
    <w:next w:val="1"/>
    <w:link w:val="34"/>
    <w:qFormat/>
    <w:locked/>
    <w:uiPriority w:val="1"/>
    <w:pPr>
      <w:spacing w:before="120" w:after="120"/>
      <w:outlineLvl w:val="1"/>
    </w:pPr>
    <w:rPr>
      <w:rFonts w:eastAsia="黑体"/>
      <w:sz w:val="32"/>
    </w:rPr>
  </w:style>
  <w:style w:type="paragraph" w:styleId="5">
    <w:name w:val="heading 3"/>
    <w:basedOn w:val="1"/>
    <w:next w:val="1"/>
    <w:unhideWhenUsed/>
    <w:qFormat/>
    <w:locked/>
    <w:uiPriority w:val="9"/>
    <w:pPr>
      <w:keepNext/>
      <w:keepLines/>
      <w:spacing w:line="360" w:lineRule="auto"/>
      <w:outlineLvl w:val="2"/>
    </w:pPr>
    <w:rPr>
      <w:b/>
      <w:bCs/>
      <w:color w:val="000000" w:themeColor="text1"/>
      <w:kern w:val="0"/>
      <w:sz w:val="28"/>
      <w:szCs w:val="28"/>
      <w:lang w:val="zh-TW"/>
      <w14:textFill>
        <w14:solidFill>
          <w14:schemeClr w14:val="tx1"/>
        </w14:solidFill>
      </w14:textFill>
    </w:rPr>
  </w:style>
  <w:style w:type="paragraph" w:styleId="6">
    <w:name w:val="heading 5"/>
    <w:basedOn w:val="1"/>
    <w:next w:val="1"/>
    <w:semiHidden/>
    <w:unhideWhenUsed/>
    <w:qFormat/>
    <w:locked/>
    <w:uiPriority w:val="9"/>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semiHidden/>
    <w:unhideWhenUsed/>
    <w:qFormat/>
    <w:uiPriority w:val="99"/>
    <w:pPr>
      <w:jc w:val="left"/>
    </w:pPr>
  </w:style>
  <w:style w:type="paragraph" w:styleId="9">
    <w:name w:val="Balloon Text"/>
    <w:basedOn w:val="1"/>
    <w:link w:val="22"/>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Body Text 2"/>
    <w:basedOn w:val="1"/>
    <w:qFormat/>
    <w:uiPriority w:val="0"/>
    <w:pPr>
      <w:adjustRightInd w:val="0"/>
      <w:snapToGrid w:val="0"/>
      <w:spacing w:beforeLines="50" w:afterLines="5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FollowedHyperlink"/>
    <w:basedOn w:val="18"/>
    <w:semiHidden/>
    <w:unhideWhenUsed/>
    <w:qFormat/>
    <w:uiPriority w:val="99"/>
    <w:rPr>
      <w:color w:val="666666"/>
      <w:u w:val="none"/>
    </w:rPr>
  </w:style>
  <w:style w:type="character" w:styleId="20">
    <w:name w:val="Hyperlink"/>
    <w:basedOn w:val="18"/>
    <w:semiHidden/>
    <w:unhideWhenUsed/>
    <w:qFormat/>
    <w:uiPriority w:val="99"/>
    <w:rPr>
      <w:color w:val="333333"/>
      <w:u w:val="none"/>
    </w:rPr>
  </w:style>
  <w:style w:type="paragraph" w:customStyle="1" w:styleId="21">
    <w:name w:val="zjb正文"/>
    <w:basedOn w:val="1"/>
    <w:link w:val="33"/>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22">
    <w:name w:val="批注框文本 字符"/>
    <w:basedOn w:val="18"/>
    <w:link w:val="9"/>
    <w:semiHidden/>
    <w:qFormat/>
    <w:locked/>
    <w:uiPriority w:val="99"/>
    <w:rPr>
      <w:rFonts w:ascii="Times New Roman" w:hAnsi="Times New Roman"/>
      <w:kern w:val="2"/>
      <w:sz w:val="18"/>
    </w:rPr>
  </w:style>
  <w:style w:type="character" w:customStyle="1" w:styleId="23">
    <w:name w:val="页脚 字符"/>
    <w:basedOn w:val="18"/>
    <w:link w:val="10"/>
    <w:qFormat/>
    <w:locked/>
    <w:uiPriority w:val="99"/>
    <w:rPr>
      <w:sz w:val="18"/>
    </w:rPr>
  </w:style>
  <w:style w:type="character" w:customStyle="1" w:styleId="24">
    <w:name w:val="页眉 字符"/>
    <w:basedOn w:val="18"/>
    <w:link w:val="11"/>
    <w:semiHidden/>
    <w:qFormat/>
    <w:locked/>
    <w:uiPriority w:val="99"/>
    <w:rPr>
      <w:sz w:val="18"/>
    </w:rPr>
  </w:style>
  <w:style w:type="paragraph" w:customStyle="1" w:styleId="25">
    <w:name w:val="列出段落1"/>
    <w:basedOn w:val="1"/>
    <w:qFormat/>
    <w:uiPriority w:val="99"/>
    <w:pPr>
      <w:ind w:firstLine="420" w:firstLineChars="200"/>
    </w:pPr>
  </w:style>
  <w:style w:type="character" w:customStyle="1" w:styleId="26">
    <w:name w:val="f14w1"/>
    <w:qFormat/>
    <w:uiPriority w:val="99"/>
    <w:rPr>
      <w:b/>
      <w:color w:val="002569"/>
      <w:sz w:val="21"/>
    </w:rPr>
  </w:style>
  <w:style w:type="paragraph" w:customStyle="1" w:styleId="2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8">
    <w:name w:val="列出段落11"/>
    <w:basedOn w:val="1"/>
    <w:qFormat/>
    <w:uiPriority w:val="99"/>
    <w:pPr>
      <w:ind w:firstLine="420" w:firstLineChars="200"/>
    </w:pPr>
  </w:style>
  <w:style w:type="paragraph" w:customStyle="1" w:styleId="29">
    <w:name w:val="列出段落2"/>
    <w:basedOn w:val="1"/>
    <w:qFormat/>
    <w:uiPriority w:val="99"/>
    <w:pPr>
      <w:ind w:firstLine="420" w:firstLineChars="200"/>
    </w:pPr>
    <w:rPr>
      <w:rFonts w:ascii="Calibri" w:hAnsi="Calibri"/>
      <w:szCs w:val="22"/>
    </w:rPr>
  </w:style>
  <w:style w:type="paragraph" w:styleId="30">
    <w:name w:val="List Paragraph"/>
    <w:basedOn w:val="1"/>
    <w:qFormat/>
    <w:uiPriority w:val="34"/>
    <w:pPr>
      <w:ind w:firstLine="420" w:firstLineChars="200"/>
    </w:pPr>
    <w:rPr>
      <w:rFonts w:ascii="Calibri" w:hAnsi="Calibri"/>
      <w:sz w:val="28"/>
      <w:szCs w:val="20"/>
    </w:rPr>
  </w:style>
  <w:style w:type="paragraph" w:customStyle="1" w:styleId="31">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32">
    <w:name w:val="zjb标题3"/>
    <w:basedOn w:val="6"/>
    <w:qFormat/>
    <w:uiPriority w:val="0"/>
    <w:pPr>
      <w:spacing w:before="0" w:after="120" w:line="360" w:lineRule="auto"/>
      <w:ind w:firstLine="200" w:firstLineChars="200"/>
      <w:outlineLvl w:val="9"/>
    </w:pPr>
    <w:rPr>
      <w:rFonts w:ascii="黑体" w:hAnsi="仿宋" w:eastAsia="黑体" w:cs="宋体"/>
      <w:b w:val="0"/>
      <w:color w:val="000000"/>
      <w:sz w:val="30"/>
      <w:szCs w:val="24"/>
    </w:rPr>
  </w:style>
  <w:style w:type="character" w:customStyle="1" w:styleId="33">
    <w:name w:val="zjb正文 字符"/>
    <w:basedOn w:val="18"/>
    <w:link w:val="21"/>
    <w:qFormat/>
    <w:uiPriority w:val="0"/>
    <w:rPr>
      <w:rFonts w:ascii="仿宋_GB2312" w:hAnsi="仿宋" w:eastAsia="仿宋_GB2312" w:cs="宋体"/>
      <w:color w:val="000000"/>
      <w:kern w:val="0"/>
      <w:sz w:val="30"/>
      <w:szCs w:val="30"/>
      <w:lang w:eastAsia="en-US"/>
    </w:rPr>
  </w:style>
  <w:style w:type="character" w:customStyle="1" w:styleId="34">
    <w:name w:val="标题 2 字符"/>
    <w:link w:val="4"/>
    <w:qFormat/>
    <w:uiPriority w:val="1"/>
    <w:rPr>
      <w:rFonts w:eastAsia="黑体"/>
      <w:kern w:val="2"/>
      <w:sz w:val="32"/>
      <w:lang w:eastAsia="zh-CN"/>
    </w:rPr>
  </w:style>
  <w:style w:type="character" w:customStyle="1" w:styleId="35">
    <w:name w:val="selallcontainer"/>
    <w:basedOn w:val="18"/>
    <w:qFormat/>
    <w:uiPriority w:val="0"/>
  </w:style>
  <w:style w:type="character" w:customStyle="1" w:styleId="36">
    <w:name w:val="hover17"/>
    <w:basedOn w:val="18"/>
    <w:qFormat/>
    <w:uiPriority w:val="0"/>
    <w:rPr>
      <w:color w:val="FF6600"/>
      <w:bdr w:val="single" w:color="DDDDDD" w:sz="6" w:space="0"/>
      <w:shd w:val="clear" w:color="auto" w:fill="FFFFFF"/>
    </w:rPr>
  </w:style>
  <w:style w:type="character" w:customStyle="1" w:styleId="37">
    <w:name w:val="over"/>
    <w:basedOn w:val="18"/>
    <w:qFormat/>
    <w:uiPriority w:val="0"/>
    <w:rPr>
      <w:shd w:val="clear" w:color="auto" w:fill="3F82BE"/>
    </w:rPr>
  </w:style>
  <w:style w:type="character" w:customStyle="1" w:styleId="38">
    <w:name w:val="before2"/>
    <w:basedOn w:val="18"/>
    <w:qFormat/>
    <w:uiPriority w:val="0"/>
  </w:style>
  <w:style w:type="character" w:customStyle="1" w:styleId="39">
    <w:name w:val="hover15"/>
    <w:basedOn w:val="18"/>
    <w:qFormat/>
    <w:uiPriority w:val="0"/>
    <w:rPr>
      <w:color w:val="FF6600"/>
      <w:bdr w:val="single" w:color="DDDDDD" w:sz="6" w:space="0"/>
      <w:shd w:val="clear" w:color="auto" w:fill="FFFFFF"/>
    </w:rPr>
  </w:style>
  <w:style w:type="character" w:customStyle="1" w:styleId="40">
    <w:name w:val="before"/>
    <w:basedOn w:val="18"/>
    <w:qFormat/>
    <w:uiPriority w:val="0"/>
  </w:style>
  <w:style w:type="character" w:customStyle="1" w:styleId="41">
    <w:name w:val="Body text (2)_"/>
    <w:link w:val="42"/>
    <w:qFormat/>
    <w:uiPriority w:val="99"/>
    <w:rPr>
      <w:rFonts w:ascii="MingLiU" w:hAnsi="Calibri" w:eastAsia="MingLiU" w:cs="MingLiU"/>
      <w:sz w:val="30"/>
      <w:szCs w:val="30"/>
      <w:shd w:val="clear" w:color="auto" w:fill="FFFFFF"/>
    </w:rPr>
  </w:style>
  <w:style w:type="paragraph" w:customStyle="1" w:styleId="42">
    <w:name w:val="Body text (2)1"/>
    <w:basedOn w:val="1"/>
    <w:link w:val="41"/>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51210-5468-4206-9CBA-E34708A1B5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1807</Words>
  <Characters>10303</Characters>
  <Lines>85</Lines>
  <Paragraphs>24</Paragraphs>
  <TotalTime>39</TotalTime>
  <ScaleCrop>false</ScaleCrop>
  <LinksUpToDate>false</LinksUpToDate>
  <CharactersWithSpaces>12086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2021-07-21T02:34:00Z</dcterms:created>
  <dc:creator>李凯01</dc:creator>
  <cp:lastModifiedBy>未知</cp:lastModifiedBy>
  <cp:lastPrinted>2021-07-27T08:45:00Z</cp:lastPrinted>
  <dcterms:modified xsi:type="dcterms:W3CDTF">2021-07-27T10:01:38Z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28B584E7D0F9492A89BCC84C25AF871C</vt:lpwstr>
  </property>
</Properties>
</file>