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52"/>
          <w:szCs w:val="52"/>
          <w:lang w:val="en-US" w:eastAsia="zh-CN"/>
        </w:rPr>
      </w:pPr>
      <w:r>
        <w:rPr>
          <w:rFonts w:hint="eastAsia" w:ascii="仿宋_GB2312" w:eastAsia="仿宋_GB2312"/>
          <w:b/>
          <w:sz w:val="52"/>
          <w:szCs w:val="52"/>
          <w:lang w:val="en-US" w:eastAsia="zh-CN"/>
        </w:rPr>
        <w:t xml:space="preserve"> </w:t>
      </w: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2"/>
      </w:pPr>
    </w:p>
    <w:p>
      <w:pPr>
        <w:jc w:val="center"/>
        <w:rPr>
          <w:rFonts w:ascii="仿宋" w:hAnsi="仿宋" w:eastAsia="仿宋"/>
          <w:b/>
          <w:sz w:val="36"/>
          <w:szCs w:val="36"/>
        </w:rPr>
      </w:pPr>
      <w:r>
        <w:rPr>
          <w:rFonts w:hint="eastAsia" w:ascii="仿宋" w:hAnsi="仿宋" w:eastAsia="仿宋"/>
          <w:b/>
          <w:sz w:val="36"/>
          <w:szCs w:val="36"/>
          <w:lang w:eastAsia="zh-CN"/>
        </w:rPr>
        <w:t>重庆江北国际机场T2、T3航站楼联通5G信号覆盖建设工程线路敷设及设备安装项目</w:t>
      </w:r>
      <w:r>
        <w:rPr>
          <w:rFonts w:hint="eastAsia" w:ascii="仿宋" w:hAnsi="仿宋" w:eastAsia="仿宋"/>
          <w:b/>
          <w:sz w:val="36"/>
          <w:szCs w:val="36"/>
        </w:rPr>
        <w:t>比选文件</w:t>
      </w:r>
    </w:p>
    <w:p>
      <w:pPr>
        <w:jc w:val="center"/>
        <w:rPr>
          <w:rFonts w:ascii="仿宋" w:hAnsi="仿宋" w:eastAsia="仿宋"/>
          <w:b/>
          <w:sz w:val="32"/>
        </w:rPr>
      </w:pPr>
    </w:p>
    <w:p>
      <w:pPr>
        <w:jc w:val="center"/>
        <w:rPr>
          <w:rFonts w:hint="eastAsia" w:ascii="仿宋" w:hAnsi="仿宋" w:eastAsia="仿宋"/>
          <w:b/>
          <w:sz w:val="36"/>
          <w:szCs w:val="36"/>
          <w:lang w:eastAsia="zh-CN"/>
        </w:rPr>
      </w:pPr>
      <w:r>
        <w:rPr>
          <w:rFonts w:hint="eastAsia" w:ascii="仿宋" w:hAnsi="仿宋" w:eastAsia="仿宋"/>
          <w:b/>
          <w:sz w:val="32"/>
          <w:szCs w:val="32"/>
          <w:lang w:eastAsia="zh-CN"/>
        </w:rPr>
        <w:t>编号：施工</w:t>
      </w:r>
      <w:r>
        <w:rPr>
          <w:rFonts w:hint="eastAsia" w:ascii="仿宋" w:hAnsi="仿宋" w:eastAsia="仿宋"/>
          <w:b/>
          <w:sz w:val="32"/>
          <w:szCs w:val="32"/>
          <w:lang w:val="en-US" w:eastAsia="zh-CN"/>
        </w:rPr>
        <w:t>2021006</w:t>
      </w:r>
      <w:r>
        <w:rPr>
          <w:rFonts w:hint="eastAsia" w:ascii="仿宋" w:hAnsi="仿宋" w:eastAsia="仿宋"/>
          <w:b/>
          <w:sz w:val="36"/>
          <w:szCs w:val="36"/>
          <w:lang w:eastAsia="zh-CN"/>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2"/>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w:t>
      </w:r>
      <w:r>
        <w:rPr>
          <w:rFonts w:hint="eastAsia" w:ascii="仿宋" w:hAnsi="仿宋" w:eastAsia="仿宋"/>
          <w:b/>
          <w:sz w:val="32"/>
          <w:szCs w:val="32"/>
          <w:lang w:eastAsia="zh-CN"/>
        </w:rPr>
        <w:t>一</w:t>
      </w:r>
      <w:r>
        <w:rPr>
          <w:rFonts w:hint="eastAsia" w:ascii="仿宋" w:hAnsi="仿宋" w:eastAsia="仿宋"/>
          <w:b/>
          <w:sz w:val="32"/>
          <w:szCs w:val="32"/>
        </w:rPr>
        <w:t>年</w:t>
      </w:r>
      <w:r>
        <w:rPr>
          <w:rFonts w:hint="eastAsia" w:ascii="仿宋" w:hAnsi="仿宋" w:eastAsia="仿宋"/>
          <w:b/>
          <w:sz w:val="32"/>
          <w:szCs w:val="32"/>
          <w:lang w:eastAsia="zh-CN"/>
        </w:rPr>
        <w:t>七</w:t>
      </w:r>
      <w:r>
        <w:rPr>
          <w:rFonts w:hint="eastAsia" w:ascii="仿宋" w:hAnsi="仿宋" w:eastAsia="仿宋"/>
          <w:b/>
          <w:sz w:val="32"/>
          <w:szCs w:val="32"/>
        </w:rPr>
        <w:t>月</w:t>
      </w:r>
    </w:p>
    <w:p>
      <w:pPr>
        <w:jc w:val="center"/>
        <w:rPr>
          <w:rFonts w:ascii="仿宋" w:hAnsi="仿宋" w:eastAsia="仿宋"/>
          <w:b/>
          <w:sz w:val="32"/>
          <w:szCs w:val="32"/>
        </w:rPr>
        <w:sectPr>
          <w:pgSz w:w="11906" w:h="16838"/>
          <w:pgMar w:top="1418" w:right="1304" w:bottom="1134" w:left="1797" w:header="851" w:footer="992" w:gutter="0"/>
          <w:pgBorders>
            <w:top w:val="none" w:sz="0" w:space="0"/>
            <w:left w:val="none" w:sz="0" w:space="0"/>
            <w:bottom w:val="none" w:sz="0" w:space="0"/>
            <w:right w:val="none" w:sz="0" w:space="0"/>
          </w:pgBorders>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lang w:eastAsia="zh-CN"/>
        </w:rPr>
        <w:t>重庆江北国际机场T2、T3航站楼联通5G信号覆盖建设工程线路敷设及设备安装项目</w:t>
      </w:r>
      <w:r>
        <w:rPr>
          <w:rFonts w:hint="eastAsia" w:ascii="仿宋" w:hAnsi="仿宋" w:eastAsia="仿宋"/>
          <w:b/>
          <w:sz w:val="32"/>
          <w:szCs w:val="32"/>
        </w:rPr>
        <w:t>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w:t>
      </w:r>
      <w:r>
        <w:rPr>
          <w:rFonts w:hint="eastAsia" w:ascii="仿宋" w:hAnsi="仿宋" w:eastAsia="仿宋"/>
          <w:sz w:val="28"/>
          <w:szCs w:val="28"/>
          <w:lang w:eastAsia="zh-CN"/>
        </w:rPr>
        <w:t>重庆江北国际机场T2、T3航站楼联通5G信号覆盖建设工程线路敷设及设备安装项目</w:t>
      </w:r>
      <w:r>
        <w:rPr>
          <w:rFonts w:hint="eastAsia" w:ascii="仿宋" w:hAnsi="仿宋" w:eastAsia="仿宋"/>
          <w:sz w:val="28"/>
          <w:szCs w:val="28"/>
        </w:rPr>
        <w:t>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b/>
          <w:bCs/>
          <w:sz w:val="28"/>
          <w:szCs w:val="28"/>
        </w:rPr>
        <w:t>需提供承诺函</w:t>
      </w:r>
      <w:r>
        <w:rPr>
          <w:rFonts w:hint="eastAsia" w:ascii="仿宋" w:hAnsi="仿宋" w:eastAsia="仿宋"/>
          <w:b w:val="0"/>
          <w:bCs w:val="0"/>
          <w:sz w:val="28"/>
          <w:szCs w:val="28"/>
        </w:rPr>
        <w:t>；</w:t>
      </w:r>
    </w:p>
    <w:p>
      <w:pPr>
        <w:spacing w:line="360" w:lineRule="auto"/>
        <w:ind w:firstLine="56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w:t>
      </w:r>
      <w:r>
        <w:rPr>
          <w:rFonts w:hint="eastAsia" w:ascii="仿宋" w:hAnsi="仿宋" w:eastAsia="仿宋"/>
          <w:sz w:val="28"/>
          <w:szCs w:val="28"/>
          <w:lang w:val="en-US" w:eastAsia="zh-CN"/>
        </w:rPr>
        <w:t>二</w:t>
      </w:r>
      <w:r>
        <w:rPr>
          <w:rFonts w:hint="eastAsia" w:ascii="仿宋" w:hAnsi="仿宋" w:eastAsia="仿宋"/>
          <w:sz w:val="28"/>
          <w:szCs w:val="28"/>
        </w:rPr>
        <w:t>级以上（含</w:t>
      </w:r>
      <w:r>
        <w:rPr>
          <w:rFonts w:hint="eastAsia" w:ascii="仿宋" w:hAnsi="仿宋" w:eastAsia="仿宋"/>
          <w:sz w:val="28"/>
          <w:szCs w:val="28"/>
          <w:lang w:val="en-US" w:eastAsia="zh-CN"/>
        </w:rPr>
        <w:t>二</w:t>
      </w:r>
      <w:r>
        <w:rPr>
          <w:rFonts w:hint="eastAsia" w:ascii="仿宋" w:hAnsi="仿宋" w:eastAsia="仿宋"/>
          <w:sz w:val="28"/>
          <w:szCs w:val="28"/>
        </w:rPr>
        <w:t>级）</w:t>
      </w:r>
      <w:r>
        <w:rPr>
          <w:rFonts w:hint="eastAsia" w:ascii="仿宋" w:hAnsi="仿宋" w:eastAsia="仿宋"/>
          <w:sz w:val="28"/>
          <w:szCs w:val="28"/>
          <w:lang w:val="en-US" w:eastAsia="zh-CN"/>
        </w:rPr>
        <w:t>或电子与智能建筑专业承包二级以上（含二级）</w:t>
      </w:r>
      <w:r>
        <w:rPr>
          <w:rFonts w:hint="eastAsia" w:ascii="仿宋" w:hAnsi="仿宋" w:eastAsia="仿宋"/>
          <w:sz w:val="28"/>
          <w:szCs w:val="28"/>
        </w:rPr>
        <w:t>证书；</w:t>
      </w:r>
    </w:p>
    <w:p>
      <w:pPr>
        <w:widowControl/>
        <w:spacing w:line="360" w:lineRule="auto"/>
        <w:ind w:firstLine="570"/>
      </w:pPr>
      <w:r>
        <w:rPr>
          <w:rFonts w:hint="eastAsia" w:ascii="仿宋" w:hAnsi="仿宋" w:eastAsia="仿宋"/>
          <w:sz w:val="28"/>
          <w:szCs w:val="28"/>
        </w:rPr>
        <w:t>1.1.5信誉要求：响应单位未被“信用中国”网站（www.credit</w:t>
      </w:r>
      <w:r>
        <w:rPr>
          <w:rFonts w:hint="eastAsia" w:ascii="仿宋" w:hAnsi="仿宋" w:eastAsia="仿宋"/>
          <w:sz w:val="28"/>
          <w:szCs w:val="28"/>
          <w:lang w:val="en-US" w:eastAsia="zh-CN"/>
        </w:rPr>
        <w:t>china.gov.cn，</w:t>
      </w:r>
      <w:r>
        <w:rPr>
          <w:rFonts w:hint="eastAsia" w:ascii="仿宋" w:hAnsi="仿宋" w:eastAsia="仿宋"/>
          <w:b/>
          <w:bCs/>
          <w:sz w:val="28"/>
          <w:szCs w:val="28"/>
          <w:lang w:val="en-US" w:eastAsia="zh-CN"/>
        </w:rPr>
        <w:t>首页-信用服务-信用分类查询</w:t>
      </w:r>
      <w:r>
        <w:rPr>
          <w:rFonts w:hint="eastAsia" w:ascii="仿宋" w:hAnsi="仿宋" w:eastAsia="仿宋"/>
          <w:sz w:val="28"/>
          <w:szCs w:val="28"/>
          <w:lang w:val="en-US" w:eastAsia="zh-CN"/>
        </w:rPr>
        <w:t>）列为失信被执行人,在投标文件中提供相关查询截图并加盖鲜章；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1.2.1.1本项目拟在</w:t>
      </w:r>
      <w:r>
        <w:rPr>
          <w:rFonts w:hint="eastAsia" w:ascii="仿宋" w:hAnsi="仿宋" w:eastAsia="仿宋"/>
          <w:sz w:val="28"/>
          <w:szCs w:val="28"/>
          <w:lang w:eastAsia="zh-CN"/>
        </w:rPr>
        <w:t>重庆江北国际机场T2、T3航站楼及隔离区建设联通5G信号覆盖项目，敷设线路，安装相关设备等</w:t>
      </w:r>
      <w:r>
        <w:rPr>
          <w:rFonts w:hint="eastAsia" w:ascii="仿宋" w:hAnsi="仿宋" w:eastAsia="仿宋"/>
          <w:sz w:val="28"/>
          <w:szCs w:val="28"/>
          <w:lang w:val="en-US" w:eastAsia="zh-CN"/>
        </w:rPr>
        <w:t>。施工时间为航后施工。</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w:t>
      </w:r>
      <w:r>
        <w:rPr>
          <w:rFonts w:hint="eastAsia" w:ascii="仿宋" w:hAnsi="仿宋" w:eastAsia="仿宋"/>
          <w:color w:val="FF0000"/>
          <w:sz w:val="28"/>
          <w:szCs w:val="28"/>
          <w:lang w:val="en-US" w:eastAsia="zh-CN"/>
        </w:rPr>
        <w:t>在重庆江北国际机场T2、T3航站楼及隔离区</w:t>
      </w:r>
      <w:r>
        <w:rPr>
          <w:rFonts w:hint="eastAsia" w:ascii="仿宋" w:hAnsi="仿宋" w:eastAsia="仿宋"/>
          <w:color w:val="FF0000"/>
          <w:sz w:val="28"/>
          <w:szCs w:val="28"/>
        </w:rPr>
        <w:t>施工，</w:t>
      </w:r>
      <w:r>
        <w:rPr>
          <w:rFonts w:hint="eastAsia" w:ascii="仿宋" w:hAnsi="仿宋" w:eastAsia="仿宋"/>
          <w:color w:val="FF0000"/>
          <w:sz w:val="28"/>
          <w:szCs w:val="28"/>
          <w:lang w:val="en-US" w:eastAsia="zh-CN"/>
        </w:rPr>
        <w:t>施工与生产同时进行，</w:t>
      </w:r>
      <w:r>
        <w:rPr>
          <w:rFonts w:hint="eastAsia" w:ascii="仿宋" w:hAnsi="仿宋" w:eastAsia="仿宋"/>
          <w:color w:val="FF0000"/>
          <w:sz w:val="28"/>
          <w:szCs w:val="28"/>
        </w:rPr>
        <w:t>响应人须组织人员</w:t>
      </w:r>
      <w:r>
        <w:rPr>
          <w:rFonts w:hint="eastAsia" w:ascii="仿宋" w:hAnsi="仿宋" w:eastAsia="仿宋"/>
          <w:color w:val="FF0000"/>
          <w:sz w:val="28"/>
          <w:szCs w:val="28"/>
          <w:lang w:eastAsia="zh-CN"/>
        </w:rPr>
        <w:t>到相关部门办理</w:t>
      </w:r>
      <w:r>
        <w:rPr>
          <w:rFonts w:hint="eastAsia" w:ascii="仿宋" w:hAnsi="仿宋" w:eastAsia="仿宋"/>
          <w:color w:val="FF0000"/>
          <w:sz w:val="28"/>
          <w:szCs w:val="28"/>
        </w:rPr>
        <w:t>手续，包括施工许可证、人员通行证件等（相关流程、费用可向采购人了解）。所有施工人员及设备满足</w:t>
      </w:r>
      <w:r>
        <w:rPr>
          <w:rFonts w:hint="eastAsia" w:ascii="仿宋" w:hAnsi="仿宋" w:eastAsia="仿宋"/>
          <w:color w:val="FF0000"/>
          <w:sz w:val="28"/>
          <w:szCs w:val="28"/>
          <w:lang w:val="en-US" w:eastAsia="zh-CN"/>
        </w:rPr>
        <w:t>江北机场</w:t>
      </w:r>
      <w:r>
        <w:rPr>
          <w:rFonts w:hint="eastAsia" w:ascii="仿宋" w:hAnsi="仿宋" w:eastAsia="仿宋"/>
          <w:color w:val="FF0000"/>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w:t>
      </w:r>
      <w:r>
        <w:rPr>
          <w:rFonts w:hint="eastAsia" w:ascii="仿宋" w:hAnsi="仿宋" w:eastAsia="仿宋"/>
          <w:color w:val="FF0000"/>
          <w:sz w:val="28"/>
          <w:szCs w:val="28"/>
          <w:highlight w:val="none"/>
        </w:rPr>
        <w:t>本工程采用固定单价合同，报价方式为工程量清单报价，设备数量最终以重庆机场信息通信网络有限公司审核结算为准。</w:t>
      </w:r>
      <w:r>
        <w:rPr>
          <w:rFonts w:hint="eastAsia" w:ascii="仿宋" w:hAnsi="仿宋" w:eastAsia="仿宋"/>
          <w:color w:val="FF0000"/>
          <w:sz w:val="28"/>
          <w:szCs w:val="28"/>
        </w:rPr>
        <w:t>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本项目最高限价（</w:t>
      </w:r>
      <w:r>
        <w:rPr>
          <w:rFonts w:hint="eastAsia" w:ascii="仿宋" w:hAnsi="仿宋" w:eastAsia="仿宋"/>
          <w:color w:val="auto"/>
          <w:sz w:val="28"/>
          <w:szCs w:val="28"/>
          <w:lang w:eastAsia="zh-CN"/>
        </w:rPr>
        <w:t>不</w:t>
      </w:r>
      <w:r>
        <w:rPr>
          <w:rFonts w:hint="eastAsia" w:ascii="仿宋" w:hAnsi="仿宋" w:eastAsia="仿宋"/>
          <w:color w:val="auto"/>
          <w:sz w:val="28"/>
          <w:szCs w:val="28"/>
        </w:rPr>
        <w:t>含增值税）为</w:t>
      </w:r>
      <w:r>
        <w:rPr>
          <w:rFonts w:hint="eastAsia" w:ascii="仿宋" w:hAnsi="仿宋" w:eastAsia="仿宋"/>
          <w:color w:val="auto"/>
          <w:sz w:val="28"/>
          <w:szCs w:val="28"/>
          <w:lang w:val="en-US" w:eastAsia="zh-CN"/>
        </w:rPr>
        <w:t>1000</w:t>
      </w:r>
      <w:r>
        <w:rPr>
          <w:rFonts w:hint="eastAsia" w:ascii="仿宋" w:hAnsi="仿宋" w:eastAsia="仿宋"/>
          <w:color w:val="auto"/>
          <w:sz w:val="28"/>
          <w:szCs w:val="28"/>
        </w:rPr>
        <w:t>元</w:t>
      </w:r>
      <w:r>
        <w:rPr>
          <w:rFonts w:hint="eastAsia" w:ascii="仿宋" w:hAnsi="仿宋" w:eastAsia="仿宋"/>
          <w:color w:val="auto"/>
          <w:sz w:val="28"/>
          <w:szCs w:val="28"/>
          <w:lang w:val="en-US" w:eastAsia="zh-CN"/>
        </w:rPr>
        <w:t>/套</w:t>
      </w:r>
      <w:r>
        <w:rPr>
          <w:rFonts w:hint="eastAsia" w:ascii="仿宋" w:hAnsi="仿宋" w:eastAsia="仿宋"/>
          <w:color w:val="auto"/>
          <w:sz w:val="28"/>
          <w:szCs w:val="28"/>
          <w:lang w:eastAsia="zh-CN"/>
        </w:rPr>
        <w:t>，</w:t>
      </w:r>
      <w:r>
        <w:rPr>
          <w:rFonts w:hint="eastAsia" w:ascii="仿宋" w:hAnsi="仿宋" w:eastAsia="仿宋"/>
          <w:color w:val="auto"/>
          <w:sz w:val="28"/>
          <w:szCs w:val="28"/>
        </w:rPr>
        <w:t>报价高于最高限价，将取消比选响应方的比选资格</w:t>
      </w:r>
      <w:r>
        <w:rPr>
          <w:rFonts w:hint="eastAsia" w:ascii="仿宋" w:hAnsi="仿宋" w:eastAsia="仿宋"/>
          <w:color w:val="auto"/>
          <w:sz w:val="28"/>
          <w:szCs w:val="28"/>
          <w:lang w:eastAsia="zh-CN"/>
        </w:rPr>
        <w:t>。</w:t>
      </w:r>
      <w:r>
        <w:rPr>
          <w:rFonts w:hint="eastAsia" w:ascii="仿宋" w:hAnsi="仿宋" w:eastAsia="仿宋"/>
          <w:b/>
          <w:color w:val="auto"/>
          <w:sz w:val="28"/>
          <w:szCs w:val="28"/>
          <w:highlight w:val="none"/>
        </w:rPr>
        <w:t>（注：单价</w:t>
      </w:r>
      <w:r>
        <w:rPr>
          <w:rFonts w:hint="eastAsia" w:ascii="仿宋" w:hAnsi="仿宋" w:eastAsia="仿宋" w:cs="仿宋"/>
          <w:b/>
          <w:color w:val="auto"/>
          <w:sz w:val="28"/>
          <w:szCs w:val="28"/>
          <w:highlight w:val="none"/>
          <w:lang w:val="zh-CN"/>
        </w:rPr>
        <w:t>报价不能超过所列出的最高限价</w:t>
      </w:r>
      <w:r>
        <w:rPr>
          <w:rFonts w:hint="eastAsia" w:ascii="仿宋" w:hAnsi="仿宋" w:eastAsia="仿宋"/>
          <w:b/>
          <w:color w:val="auto"/>
          <w:sz w:val="28"/>
          <w:szCs w:val="28"/>
          <w:highlight w:val="none"/>
        </w:rPr>
        <w:t>）</w:t>
      </w:r>
    </w:p>
    <w:p>
      <w:pPr>
        <w:widowControl/>
        <w:spacing w:line="360" w:lineRule="auto"/>
        <w:ind w:firstLine="560" w:firstLineChars="200"/>
        <w:jc w:val="left"/>
        <w:rPr>
          <w:rFonts w:ascii="仿宋" w:hAnsi="仿宋" w:eastAsia="仿宋"/>
          <w:color w:val="auto"/>
          <w:sz w:val="28"/>
          <w:szCs w:val="28"/>
          <w:lang w:val="en-GB"/>
        </w:rPr>
      </w:pPr>
      <w:r>
        <w:rPr>
          <w:rFonts w:hint="eastAsia" w:ascii="仿宋" w:hAnsi="仿宋" w:eastAsia="仿宋"/>
          <w:color w:val="auto"/>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olor w:val="auto"/>
          <w:sz w:val="28"/>
          <w:szCs w:val="28"/>
        </w:rPr>
      </w:pPr>
      <w:r>
        <w:rPr>
          <w:rFonts w:hint="eastAsia" w:ascii="仿宋" w:hAnsi="仿宋" w:eastAsia="仿宋"/>
          <w:color w:val="auto"/>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w:t>
      </w:r>
      <w:r>
        <w:rPr>
          <w:rFonts w:hint="eastAsia" w:ascii="仿宋" w:hAnsi="仿宋" w:eastAsia="仿宋"/>
          <w:b/>
          <w:bCs/>
          <w:color w:val="FF0000"/>
          <w:sz w:val="28"/>
          <w:szCs w:val="28"/>
          <w:highlight w:val="none"/>
        </w:rPr>
        <w:t>《单位工程投标报价汇总表》、</w:t>
      </w:r>
      <w:r>
        <w:rPr>
          <w:rFonts w:hint="eastAsia" w:ascii="仿宋" w:hAnsi="仿宋" w:eastAsia="仿宋"/>
          <w:b/>
          <w:bCs/>
          <w:color w:val="FF0000"/>
          <w:sz w:val="28"/>
          <w:szCs w:val="28"/>
          <w:highlight w:val="none"/>
          <w:lang w:eastAsia="zh-CN"/>
        </w:rPr>
        <w:t>《措施项目汇总表》、《分部分项工程项目清单计价表》、《施工组织措施项目清单计价表》、《其他项目清单计价汇总表》、《规费、税金项目计价表》、《未计价材料表》等</w:t>
      </w:r>
      <w:r>
        <w:rPr>
          <w:rFonts w:hint="eastAsia" w:ascii="仿宋" w:hAnsi="仿宋" w:eastAsia="仿宋"/>
          <w:color w:val="FF0000"/>
          <w:sz w:val="28"/>
          <w:szCs w:val="28"/>
        </w:rPr>
        <w:t>；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3"/>
        <w:pageBreakBefore w:val="0"/>
        <w:kinsoku/>
        <w:wordWrap/>
        <w:overflowPunct/>
        <w:topLinePunct w:val="0"/>
        <w:autoSpaceDE/>
        <w:autoSpaceDN/>
        <w:bidi w:val="0"/>
        <w:adjustRightInd/>
        <w:snapToGrid/>
        <w:spacing w:line="240" w:lineRule="auto"/>
        <w:ind w:firstLine="560" w:firstLineChars="200"/>
        <w:textAlignment w:val="auto"/>
        <w:rPr>
          <w:rFonts w:ascii="仿宋" w:hAnsi="仿宋"/>
          <w:b w:val="0"/>
          <w:bCs w:val="0"/>
          <w:szCs w:val="28"/>
        </w:rPr>
      </w:pPr>
      <w:r>
        <w:rPr>
          <w:rFonts w:hint="eastAsia" w:ascii="仿宋" w:hAnsi="仿宋"/>
          <w:b w:val="0"/>
          <w:bCs w:val="0"/>
          <w:szCs w:val="28"/>
        </w:rPr>
        <w:t>2.1有效营业执照（须提供营业执照复印件加盖鲜章）；</w:t>
      </w:r>
    </w:p>
    <w:p>
      <w:pPr>
        <w:pageBreakBefore w:val="0"/>
        <w:widowControl/>
        <w:kinsoku/>
        <w:wordWrap/>
        <w:overflowPunct/>
        <w:topLinePunct w:val="0"/>
        <w:autoSpaceDE/>
        <w:autoSpaceDN/>
        <w:bidi w:val="0"/>
        <w:adjustRightInd/>
        <w:snapToGrid/>
        <w:spacing w:line="240" w:lineRule="auto"/>
        <w:ind w:firstLine="570"/>
        <w:jc w:val="left"/>
        <w:textAlignment w:val="auto"/>
        <w:rPr>
          <w:rFonts w:ascii="仿宋" w:hAnsi="仿宋" w:eastAsia="仿宋"/>
          <w:sz w:val="28"/>
          <w:szCs w:val="28"/>
        </w:rPr>
      </w:pPr>
      <w:r>
        <w:rPr>
          <w:rFonts w:hint="eastAsia" w:ascii="仿宋" w:hAnsi="仿宋" w:eastAsia="仿宋"/>
          <w:sz w:val="28"/>
          <w:szCs w:val="28"/>
        </w:rPr>
        <w:t>2.2公司具有安防工程从业资质二级以上（含二级）证书或电子与智能化工程专业承包贰级以上（含二级）；</w:t>
      </w:r>
    </w:p>
    <w:p>
      <w:pPr>
        <w:pageBreakBefore w:val="0"/>
        <w:widowControl/>
        <w:kinsoku/>
        <w:wordWrap/>
        <w:overflowPunct/>
        <w:topLinePunct w:val="0"/>
        <w:autoSpaceDE/>
        <w:autoSpaceDN/>
        <w:bidi w:val="0"/>
        <w:adjustRightInd/>
        <w:snapToGrid/>
        <w:spacing w:line="240" w:lineRule="auto"/>
        <w:ind w:firstLine="570"/>
        <w:textAlignment w:val="auto"/>
      </w:pPr>
      <w:r>
        <w:rPr>
          <w:rFonts w:hint="eastAsia" w:ascii="仿宋" w:hAnsi="仿宋" w:eastAsia="仿宋"/>
          <w:sz w:val="28"/>
          <w:szCs w:val="28"/>
        </w:rPr>
        <w:t>2.3信誉要求：响应单位未被“信用中国”网站（www.credit</w:t>
      </w:r>
      <w:r>
        <w:rPr>
          <w:rFonts w:hint="eastAsia" w:ascii="仿宋" w:hAnsi="仿宋" w:eastAsia="仿宋"/>
          <w:sz w:val="28"/>
          <w:szCs w:val="28"/>
          <w:lang w:val="en-US" w:eastAsia="zh-CN"/>
        </w:rPr>
        <w:t>china.gov.cn，首页-信用服务-信用分类查询）列为失信被执行人,在投标文件中提供相关查询截图并加盖鲜章；</w:t>
      </w:r>
    </w:p>
    <w:p>
      <w:pPr>
        <w:pageBreakBefore w:val="0"/>
        <w:kinsoku/>
        <w:wordWrap/>
        <w:overflowPunct/>
        <w:topLinePunct w:val="0"/>
        <w:autoSpaceDE/>
        <w:autoSpaceDN/>
        <w:bidi w:val="0"/>
        <w:adjustRightInd/>
        <w:snapToGrid/>
        <w:spacing w:line="240" w:lineRule="auto"/>
        <w:ind w:firstLine="560" w:firstLineChars="200"/>
        <w:jc w:val="left"/>
        <w:textAlignment w:val="auto"/>
        <w:rPr>
          <w:rFonts w:ascii="仿宋" w:hAnsi="仿宋" w:eastAsia="仿宋"/>
          <w:color w:val="0000FF"/>
          <w:sz w:val="28"/>
          <w:szCs w:val="28"/>
        </w:rPr>
      </w:pPr>
      <w:r>
        <w:rPr>
          <w:rFonts w:hint="eastAsia" w:ascii="仿宋" w:hAnsi="仿宋" w:eastAsia="仿宋"/>
          <w:sz w:val="28"/>
          <w:szCs w:val="28"/>
        </w:rPr>
        <w:t>2.4法定代表人授权书和法定代表人身份证复印件；</w:t>
      </w:r>
    </w:p>
    <w:p>
      <w:pPr>
        <w:pageBreakBefore w:val="0"/>
        <w:widowControl/>
        <w:kinsoku/>
        <w:wordWrap/>
        <w:overflowPunct/>
        <w:topLinePunct w:val="0"/>
        <w:autoSpaceDE/>
        <w:autoSpaceDN/>
        <w:bidi w:val="0"/>
        <w:adjustRightInd/>
        <w:snapToGrid/>
        <w:spacing w:line="240" w:lineRule="auto"/>
        <w:ind w:firstLine="570"/>
        <w:jc w:val="left"/>
        <w:textAlignment w:val="auto"/>
        <w:rPr>
          <w:rFonts w:ascii="仿宋" w:hAnsi="仿宋" w:eastAsia="仿宋"/>
          <w:sz w:val="28"/>
          <w:szCs w:val="28"/>
        </w:rPr>
      </w:pPr>
      <w:r>
        <w:rPr>
          <w:rFonts w:hint="eastAsia" w:ascii="仿宋" w:hAnsi="仿宋" w:eastAsia="仿宋"/>
          <w:sz w:val="28"/>
          <w:szCs w:val="28"/>
        </w:rPr>
        <w:t>2.5有效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pageBreakBefore w:val="0"/>
        <w:widowControl/>
        <w:kinsoku/>
        <w:wordWrap/>
        <w:overflowPunct/>
        <w:topLinePunct w:val="0"/>
        <w:autoSpaceDE/>
        <w:autoSpaceDN/>
        <w:bidi w:val="0"/>
        <w:adjustRightInd/>
        <w:snapToGrid/>
        <w:spacing w:line="240" w:lineRule="auto"/>
        <w:ind w:firstLine="570"/>
        <w:jc w:val="left"/>
        <w:textAlignment w:val="auto"/>
        <w:rPr>
          <w:rFonts w:ascii="仿宋" w:hAnsi="仿宋" w:eastAsia="仿宋"/>
          <w:sz w:val="28"/>
          <w:szCs w:val="28"/>
        </w:rPr>
      </w:pPr>
      <w:r>
        <w:rPr>
          <w:rFonts w:hint="eastAsia" w:ascii="仿宋" w:hAnsi="仿宋" w:eastAsia="仿宋"/>
          <w:sz w:val="28"/>
          <w:szCs w:val="28"/>
        </w:rPr>
        <w:t>2.6被授权人身份证复印件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pageBreakBefore w:val="0"/>
        <w:widowControl/>
        <w:kinsoku/>
        <w:wordWrap/>
        <w:overflowPunct/>
        <w:topLinePunct w:val="0"/>
        <w:autoSpaceDE/>
        <w:autoSpaceDN/>
        <w:bidi w:val="0"/>
        <w:adjustRightInd/>
        <w:snapToGrid/>
        <w:spacing w:line="240" w:lineRule="auto"/>
        <w:ind w:firstLine="570"/>
        <w:jc w:val="left"/>
        <w:textAlignment w:val="auto"/>
        <w:rPr>
          <w:rFonts w:ascii="仿宋" w:hAnsi="仿宋" w:eastAsia="仿宋"/>
          <w:sz w:val="28"/>
          <w:szCs w:val="28"/>
        </w:rPr>
      </w:pPr>
      <w:r>
        <w:rPr>
          <w:rFonts w:hint="eastAsia" w:ascii="仿宋" w:hAnsi="仿宋" w:eastAsia="仿宋"/>
          <w:sz w:val="28"/>
          <w:szCs w:val="28"/>
        </w:rPr>
        <w:t>2.7不转包、分包承诺函。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highlight w:val="none"/>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w:t>
      </w:r>
      <w:r>
        <w:rPr>
          <w:rFonts w:hint="eastAsia" w:ascii="仿宋" w:hAnsi="仿宋" w:eastAsia="仿宋" w:cs="仿宋"/>
          <w:b/>
          <w:sz w:val="28"/>
          <w:szCs w:val="28"/>
          <w:highlight w:val="none"/>
        </w:rPr>
        <w:t>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highlight w:val="none"/>
        </w:rPr>
        <w:t>凡有意参加的供应商，请于</w:t>
      </w:r>
      <w:r>
        <w:rPr>
          <w:rFonts w:hint="eastAsia" w:ascii="仿宋" w:hAnsi="仿宋" w:eastAsia="仿宋"/>
          <w:kern w:val="0"/>
          <w:sz w:val="28"/>
          <w:szCs w:val="28"/>
          <w:highlight w:val="none"/>
          <w:u w:val="single"/>
        </w:rPr>
        <w:t>202</w:t>
      </w:r>
      <w:r>
        <w:rPr>
          <w:rFonts w:hint="eastAsia" w:ascii="仿宋" w:hAnsi="仿宋" w:eastAsia="仿宋"/>
          <w:kern w:val="0"/>
          <w:sz w:val="28"/>
          <w:szCs w:val="28"/>
          <w:highlight w:val="none"/>
          <w:u w:val="single"/>
          <w:lang w:val="en-US" w:eastAsia="zh-CN"/>
        </w:rPr>
        <w:t>1</w:t>
      </w:r>
      <w:r>
        <w:rPr>
          <w:rFonts w:hint="eastAsia" w:ascii="仿宋" w:hAnsi="仿宋" w:eastAsia="仿宋"/>
          <w:kern w:val="0"/>
          <w:sz w:val="28"/>
          <w:szCs w:val="28"/>
          <w:highlight w:val="none"/>
          <w:u w:val="single"/>
        </w:rPr>
        <w:t>年</w:t>
      </w:r>
      <w:r>
        <w:rPr>
          <w:rFonts w:hint="eastAsia" w:ascii="仿宋" w:hAnsi="仿宋" w:eastAsia="仿宋"/>
          <w:kern w:val="0"/>
          <w:sz w:val="28"/>
          <w:szCs w:val="28"/>
          <w:highlight w:val="none"/>
          <w:u w:val="single"/>
          <w:lang w:val="en-US" w:eastAsia="zh-CN"/>
        </w:rPr>
        <w:t>7</w:t>
      </w:r>
      <w:r>
        <w:rPr>
          <w:rFonts w:hint="eastAsia" w:ascii="仿宋" w:hAnsi="仿宋" w:eastAsia="仿宋"/>
          <w:kern w:val="0"/>
          <w:sz w:val="28"/>
          <w:szCs w:val="28"/>
          <w:highlight w:val="none"/>
          <w:u w:val="single"/>
        </w:rPr>
        <w:t>月</w:t>
      </w:r>
      <w:r>
        <w:rPr>
          <w:rFonts w:hint="eastAsia" w:ascii="仿宋" w:hAnsi="仿宋" w:eastAsia="仿宋"/>
          <w:kern w:val="0"/>
          <w:sz w:val="28"/>
          <w:szCs w:val="28"/>
          <w:highlight w:val="none"/>
          <w:u w:val="single"/>
          <w:lang w:val="en-US" w:eastAsia="zh-CN"/>
        </w:rPr>
        <w:t>21</w:t>
      </w:r>
      <w:bookmarkStart w:id="56" w:name="_GoBack"/>
      <w:bookmarkEnd w:id="56"/>
      <w:r>
        <w:rPr>
          <w:rFonts w:hint="eastAsia" w:ascii="仿宋" w:hAnsi="仿宋" w:eastAsia="仿宋"/>
          <w:kern w:val="0"/>
          <w:sz w:val="28"/>
          <w:szCs w:val="28"/>
          <w:highlight w:val="none"/>
          <w:u w:val="single"/>
        </w:rPr>
        <w:t>日</w:t>
      </w:r>
      <w:r>
        <w:rPr>
          <w:rFonts w:hint="eastAsia" w:ascii="仿宋" w:hAnsi="仿宋" w:eastAsia="仿宋"/>
          <w:kern w:val="0"/>
          <w:sz w:val="28"/>
          <w:szCs w:val="28"/>
          <w:highlight w:val="none"/>
        </w:rPr>
        <w:t>起（北京时间，下同）在重庆江北机场外网招标招商板块（https://www.cqa.cn/zbzs</w:t>
      </w:r>
      <w:r>
        <w:rPr>
          <w:rFonts w:hint="eastAsia" w:ascii="仿宋" w:hAnsi="仿宋" w:eastAsia="仿宋"/>
          <w:kern w:val="0"/>
          <w:sz w:val="28"/>
          <w:szCs w:val="28"/>
        </w:rPr>
        <w:t>/4/）下载：比选文件、澄清、修改、补充通知、最高限价通知等全部内容。不管下载与否都视为潜在供应商全部知晓有关比选过程和全部内容。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w:t>
      </w:r>
      <w:r>
        <w:rPr>
          <w:rFonts w:hint="eastAsia" w:ascii="仿宋" w:hAnsi="仿宋" w:eastAsia="仿宋" w:cs="仿宋"/>
          <w:sz w:val="28"/>
          <w:szCs w:val="28"/>
          <w:lang w:val="en-US" w:eastAsia="zh-CN"/>
        </w:rPr>
        <w:t>50000元整</w:t>
      </w:r>
      <w:r>
        <w:rPr>
          <w:rFonts w:hint="eastAsia" w:ascii="仿宋" w:hAnsi="仿宋" w:eastAsia="仿宋" w:cs="仿宋"/>
          <w:sz w:val="28"/>
          <w:szCs w:val="28"/>
        </w:rPr>
        <w:t>，在收到</w:t>
      </w:r>
      <w:r>
        <w:rPr>
          <w:rFonts w:hint="eastAsia" w:ascii="仿宋" w:hAnsi="仿宋" w:eastAsia="仿宋" w:cs="仿宋"/>
          <w:sz w:val="28"/>
          <w:szCs w:val="28"/>
          <w:lang w:eastAsia="zh-CN"/>
        </w:rPr>
        <w:t>本项目</w:t>
      </w:r>
      <w:r>
        <w:rPr>
          <w:rFonts w:hint="eastAsia" w:ascii="仿宋" w:hAnsi="仿宋" w:eastAsia="仿宋" w:cs="仿宋"/>
          <w:sz w:val="28"/>
          <w:szCs w:val="28"/>
        </w:rPr>
        <w:t>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w:t>
      </w: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rPr>
        <w:t>，质保期结束无质量问题后支付剩下</w:t>
      </w:r>
      <w:r>
        <w:rPr>
          <w:rFonts w:hint="eastAsia" w:ascii="仿宋" w:hAnsi="仿宋" w:eastAsia="仿宋"/>
          <w:sz w:val="28"/>
          <w:szCs w:val="28"/>
          <w:lang w:val="en-US" w:eastAsia="zh-CN"/>
        </w:rPr>
        <w:t>3</w:t>
      </w:r>
      <w:r>
        <w:rPr>
          <w:rFonts w:ascii="仿宋" w:hAnsi="仿宋" w:eastAsia="仿宋"/>
          <w:sz w:val="28"/>
          <w:szCs w:val="28"/>
        </w:rPr>
        <w:t>%</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highlight w:val="none"/>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签订之日起至</w:t>
      </w:r>
      <w:r>
        <w:rPr>
          <w:rFonts w:hint="eastAsia" w:ascii="仿宋" w:hAnsi="仿宋" w:eastAsia="仿宋"/>
          <w:sz w:val="28"/>
          <w:szCs w:val="28"/>
          <w:highlight w:val="none"/>
        </w:rPr>
        <w:t>项目竣工验收</w:t>
      </w:r>
      <w:r>
        <w:rPr>
          <w:rFonts w:ascii="仿宋" w:hAnsi="仿宋" w:eastAsia="仿宋"/>
          <w:sz w:val="28"/>
          <w:szCs w:val="28"/>
          <w:highlight w:val="none"/>
        </w:rPr>
        <w:t>完成：</w:t>
      </w:r>
      <w:r>
        <w:rPr>
          <w:rFonts w:hint="eastAsia" w:ascii="仿宋" w:hAnsi="仿宋" w:eastAsia="仿宋"/>
          <w:sz w:val="28"/>
          <w:szCs w:val="28"/>
          <w:highlight w:val="none"/>
          <w:u w:val="single"/>
          <w:lang w:val="en-US" w:eastAsia="zh-CN"/>
        </w:rPr>
        <w:t>150</w:t>
      </w:r>
      <w:r>
        <w:rPr>
          <w:rFonts w:hint="eastAsia" w:ascii="仿宋" w:hAnsi="仿宋" w:eastAsia="仿宋"/>
          <w:sz w:val="28"/>
          <w:szCs w:val="28"/>
          <w:highlight w:val="none"/>
        </w:rPr>
        <w:t>个</w:t>
      </w:r>
      <w:r>
        <w:rPr>
          <w:rFonts w:ascii="仿宋" w:hAnsi="仿宋" w:eastAsia="仿宋"/>
          <w:sz w:val="28"/>
          <w:szCs w:val="28"/>
          <w:highlight w:val="none"/>
        </w:rPr>
        <w:t>日历</w:t>
      </w:r>
      <w:r>
        <w:rPr>
          <w:rFonts w:hint="eastAsia" w:ascii="仿宋" w:hAnsi="仿宋" w:eastAsia="仿宋"/>
          <w:sz w:val="28"/>
          <w:szCs w:val="28"/>
          <w:highlight w:val="none"/>
        </w:rPr>
        <w:t>天。</w:t>
      </w:r>
      <w:r>
        <w:rPr>
          <w:rFonts w:hint="eastAsia" w:ascii="仿宋" w:hAnsi="仿宋" w:eastAsia="仿宋"/>
          <w:b/>
          <w:bCs/>
          <w:sz w:val="28"/>
          <w:szCs w:val="28"/>
          <w:highlight w:val="none"/>
        </w:rPr>
        <w:t>（工期包含所有证件的办理时间）</w:t>
      </w:r>
    </w:p>
    <w:p>
      <w:pPr>
        <w:widowControl/>
        <w:adjustRightInd w:val="0"/>
        <w:snapToGrid w:val="0"/>
        <w:spacing w:line="360" w:lineRule="auto"/>
        <w:jc w:val="left"/>
        <w:textAlignment w:val="bottom"/>
        <w:rPr>
          <w:rFonts w:ascii="仿宋" w:hAnsi="仿宋" w:eastAsia="仿宋"/>
          <w:b/>
          <w:sz w:val="28"/>
          <w:szCs w:val="28"/>
          <w:highlight w:val="none"/>
        </w:rPr>
      </w:pPr>
      <w:r>
        <w:rPr>
          <w:rFonts w:hint="eastAsia" w:ascii="仿宋" w:hAnsi="仿宋" w:eastAsia="仿宋"/>
          <w:b/>
          <w:sz w:val="28"/>
          <w:szCs w:val="28"/>
          <w:highlight w:val="none"/>
        </w:rPr>
        <w:t>八</w:t>
      </w:r>
      <w:r>
        <w:rPr>
          <w:rFonts w:ascii="仿宋" w:hAnsi="仿宋" w:eastAsia="仿宋"/>
          <w:b/>
          <w:sz w:val="28"/>
          <w:szCs w:val="28"/>
          <w:highlight w:val="none"/>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2"/>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报价部分。根据甲方提供的工程量清单编制报价文件，提供相应的表格（</w:t>
      </w:r>
      <w:r>
        <w:rPr>
          <w:rFonts w:hint="eastAsia" w:ascii="仿宋" w:hAnsi="仿宋" w:eastAsia="仿宋"/>
          <w:color w:val="FF0000"/>
          <w:sz w:val="28"/>
          <w:szCs w:val="28"/>
        </w:rPr>
        <w:t>1.2.2.3</w:t>
      </w:r>
      <w:r>
        <w:rPr>
          <w:rFonts w:hint="eastAsia" w:ascii="仿宋" w:hAnsi="仿宋" w:eastAsia="仿宋"/>
          <w:color w:val="FF0000"/>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w:t>
      </w:r>
      <w:r>
        <w:rPr>
          <w:rFonts w:hint="eastAsia" w:ascii="仿宋" w:hAnsi="仿宋" w:eastAsia="仿宋"/>
          <w:sz w:val="28"/>
          <w:szCs w:val="28"/>
          <w:lang w:eastAsia="zh-CN"/>
        </w:rPr>
        <w:t>二</w:t>
      </w:r>
      <w:r>
        <w:rPr>
          <w:rFonts w:hint="eastAsia" w:ascii="仿宋" w:hAnsi="仿宋" w:eastAsia="仿宋"/>
          <w:sz w:val="28"/>
          <w:szCs w:val="28"/>
        </w:rPr>
        <w:t>级以上（含</w:t>
      </w:r>
      <w:r>
        <w:rPr>
          <w:rFonts w:hint="eastAsia" w:ascii="仿宋" w:hAnsi="仿宋" w:eastAsia="仿宋"/>
          <w:sz w:val="28"/>
          <w:szCs w:val="28"/>
          <w:lang w:eastAsia="zh-CN"/>
        </w:rPr>
        <w:t>二</w:t>
      </w:r>
      <w:r>
        <w:rPr>
          <w:rFonts w:hint="eastAsia" w:ascii="仿宋" w:hAnsi="仿宋" w:eastAsia="仿宋"/>
          <w:sz w:val="28"/>
          <w:szCs w:val="28"/>
        </w:rPr>
        <w:t>级）；</w:t>
      </w:r>
      <w:r>
        <w:rPr>
          <w:rFonts w:hint="eastAsia" w:ascii="仿宋" w:hAnsi="仿宋" w:eastAsia="仿宋"/>
          <w:sz w:val="28"/>
          <w:szCs w:val="28"/>
          <w:lang w:eastAsia="zh-CN"/>
        </w:rPr>
        <w:t>信誉要求</w:t>
      </w:r>
      <w:r>
        <w:rPr>
          <w:rFonts w:hint="eastAsia" w:ascii="仿宋" w:hAnsi="仿宋" w:eastAsia="仿宋"/>
          <w:sz w:val="28"/>
          <w:szCs w:val="28"/>
        </w:rPr>
        <w:t>；不转包、分包承诺函以及服务承诺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lang w:val="zh-CN"/>
        </w:rPr>
        <w:t>份，其中正本1份，副本</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lang w:val="en-US" w:eastAsia="zh-CN"/>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11.5 比选响应文件中报价函部分、授权部分无法定代表人签字（签章）或签字人无有效授权书的</w:t>
      </w:r>
      <w:r>
        <w:rPr>
          <w:rFonts w:hint="eastAsia" w:ascii="仿宋" w:hAnsi="仿宋" w:eastAsia="仿宋"/>
          <w:sz w:val="28"/>
          <w:szCs w:val="28"/>
          <w:lang w:eastAsia="zh-CN"/>
        </w:rPr>
        <w:t>。</w:t>
      </w:r>
    </w:p>
    <w:p>
      <w:pPr>
        <w:autoSpaceDE w:val="0"/>
        <w:autoSpaceDN w:val="0"/>
        <w:adjustRightIn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11.6 报价函部分未按规定的格式完整填写（增项填写不作为作废条款）</w:t>
      </w:r>
      <w:r>
        <w:rPr>
          <w:rFonts w:hint="eastAsia" w:ascii="仿宋" w:hAnsi="仿宋" w:eastAsia="仿宋"/>
          <w:sz w:val="28"/>
          <w:szCs w:val="28"/>
          <w:lang w:eastAsia="zh-CN"/>
        </w:rPr>
        <w:t>，报价函中金额大写不符合人民币大写标准。</w:t>
      </w:r>
    </w:p>
    <w:p>
      <w:pPr>
        <w:autoSpaceDE w:val="0"/>
        <w:autoSpaceDN w:val="0"/>
        <w:adjustRightIn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11.7 评审委员会审查发现比选响应文件未能对比选文件提出的所有实质性要求和条件作出响应的</w:t>
      </w:r>
      <w:r>
        <w:rPr>
          <w:rFonts w:hint="eastAsia" w:ascii="仿宋" w:hAnsi="仿宋" w:eastAsia="仿宋"/>
          <w:sz w:val="28"/>
          <w:szCs w:val="28"/>
          <w:lang w:eastAsia="zh-CN"/>
        </w:rPr>
        <w:t>。</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11.9 未按比选文件要求</w:t>
      </w:r>
      <w:r>
        <w:rPr>
          <w:rFonts w:hint="eastAsia" w:ascii="仿宋" w:hAnsi="仿宋" w:eastAsia="仿宋"/>
          <w:sz w:val="28"/>
          <w:szCs w:val="28"/>
          <w:lang w:val="zh-CN" w:eastAsia="zh-CN"/>
        </w:rPr>
        <w:t>编制报价文件，提供相应表格的。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highlight w:val="none"/>
        </w:rPr>
      </w:pPr>
      <w:r>
        <w:rPr>
          <w:rFonts w:hint="eastAsia" w:ascii="仿宋" w:hAnsi="仿宋" w:eastAsia="仿宋"/>
          <w:sz w:val="28"/>
          <w:szCs w:val="28"/>
        </w:rPr>
        <w:t>14</w:t>
      </w:r>
      <w:r>
        <w:rPr>
          <w:rFonts w:hint="eastAsia" w:ascii="仿宋" w:hAnsi="仿宋" w:eastAsia="仿宋"/>
          <w:sz w:val="28"/>
          <w:szCs w:val="28"/>
          <w:highlight w:val="none"/>
        </w:rPr>
        <w:t>.1</w:t>
      </w:r>
      <w:r>
        <w:rPr>
          <w:rFonts w:hint="eastAsia" w:ascii="仿宋" w:hAnsi="仿宋" w:eastAsia="仿宋" w:cs="仿宋"/>
          <w:color w:val="000000"/>
          <w:sz w:val="28"/>
          <w:szCs w:val="28"/>
          <w:highlight w:val="none"/>
          <w:lang w:val="zh-CN"/>
        </w:rPr>
        <w:t>比选响应文件</w:t>
      </w:r>
      <w:r>
        <w:rPr>
          <w:rFonts w:hint="eastAsia" w:ascii="仿宋" w:hAnsi="仿宋" w:eastAsia="仿宋" w:cs="仿宋"/>
          <w:color w:val="000000"/>
          <w:sz w:val="28"/>
          <w:szCs w:val="28"/>
          <w:highlight w:val="none"/>
        </w:rPr>
        <w:t>必须</w:t>
      </w:r>
      <w:r>
        <w:rPr>
          <w:rFonts w:hint="eastAsia" w:ascii="仿宋" w:hAnsi="仿宋" w:eastAsia="仿宋" w:cs="仿宋"/>
          <w:sz w:val="28"/>
          <w:szCs w:val="28"/>
          <w:highlight w:val="none"/>
        </w:rPr>
        <w:t>在</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9:00</w:t>
      </w:r>
      <w:r>
        <w:rPr>
          <w:rFonts w:hint="eastAsia" w:ascii="仿宋" w:hAnsi="仿宋" w:eastAsia="仿宋" w:cs="仿宋"/>
          <w:sz w:val="28"/>
          <w:szCs w:val="28"/>
          <w:highlight w:val="none"/>
          <w:u w:val="single"/>
        </w:rPr>
        <w:t>至</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u w:val="single"/>
        </w:rPr>
        <w:t>时</w:t>
      </w:r>
      <w:r>
        <w:rPr>
          <w:rFonts w:hint="eastAsia" w:ascii="仿宋" w:hAnsi="仿宋" w:eastAsia="仿宋"/>
          <w:sz w:val="28"/>
          <w:szCs w:val="28"/>
          <w:highlight w:val="none"/>
        </w:rPr>
        <w:t>前送到重庆机场信息通信网络有限公司（ITC大楼</w:t>
      </w:r>
      <w:r>
        <w:rPr>
          <w:rFonts w:hint="eastAsia" w:ascii="仿宋" w:hAnsi="仿宋" w:eastAsia="仿宋"/>
          <w:sz w:val="28"/>
          <w:szCs w:val="28"/>
          <w:highlight w:val="none"/>
          <w:lang w:val="en-US" w:eastAsia="zh-CN"/>
        </w:rPr>
        <w:t>113</w:t>
      </w:r>
      <w:r>
        <w:rPr>
          <w:rFonts w:hint="eastAsia" w:ascii="仿宋" w:hAnsi="仿宋" w:eastAsia="仿宋"/>
          <w:sz w:val="28"/>
          <w:szCs w:val="28"/>
          <w:highlight w:val="none"/>
        </w:rPr>
        <w:t>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highlight w:val="none"/>
        </w:rPr>
        <w:t>14</w:t>
      </w:r>
      <w:r>
        <w:rPr>
          <w:rFonts w:ascii="仿宋" w:hAnsi="仿宋" w:eastAsia="仿宋"/>
          <w:sz w:val="28"/>
          <w:szCs w:val="28"/>
          <w:highlight w:val="none"/>
        </w:rPr>
        <w:t>.</w:t>
      </w:r>
      <w:r>
        <w:rPr>
          <w:rFonts w:hint="eastAsia" w:ascii="仿宋" w:hAnsi="仿宋" w:eastAsia="仿宋"/>
          <w:sz w:val="28"/>
          <w:szCs w:val="28"/>
          <w:highlight w:val="none"/>
        </w:rPr>
        <w:t>2</w:t>
      </w:r>
      <w:r>
        <w:rPr>
          <w:rFonts w:ascii="仿宋" w:hAnsi="仿宋" w:eastAsia="仿宋"/>
          <w:sz w:val="28"/>
          <w:szCs w:val="28"/>
          <w:highlight w:val="none"/>
        </w:rPr>
        <w:t xml:space="preserve"> </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7</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rPr>
        <w:t>日</w:t>
      </w:r>
      <w:r>
        <w:rPr>
          <w:rFonts w:hint="eastAsia" w:ascii="仿宋" w:hAnsi="仿宋" w:eastAsia="仿宋" w:cs="仿宋"/>
          <w:sz w:val="28"/>
          <w:szCs w:val="28"/>
          <w:highlight w:val="none"/>
          <w:u w:val="single"/>
          <w:lang w:val="en-US" w:eastAsia="zh-CN"/>
        </w:rPr>
        <w:t>9:30</w:t>
      </w:r>
      <w:r>
        <w:rPr>
          <w:rFonts w:hint="eastAsia" w:ascii="仿宋" w:hAnsi="仿宋" w:eastAsia="仿宋" w:cs="仿宋"/>
          <w:sz w:val="28"/>
          <w:szCs w:val="28"/>
          <w:highlight w:val="none"/>
        </w:rPr>
        <w:t>时</w:t>
      </w:r>
      <w:r>
        <w:rPr>
          <w:rFonts w:hint="eastAsia" w:ascii="仿宋" w:hAnsi="仿宋" w:eastAsia="仿宋"/>
          <w:sz w:val="28"/>
          <w:szCs w:val="28"/>
          <w:highlight w:val="none"/>
        </w:rPr>
        <w:t>在重庆</w:t>
      </w:r>
      <w:r>
        <w:rPr>
          <w:rFonts w:hint="eastAsia" w:ascii="仿宋" w:hAnsi="仿宋" w:eastAsia="仿宋"/>
          <w:sz w:val="28"/>
          <w:szCs w:val="28"/>
        </w:rPr>
        <w:t>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3"/>
      </w:pPr>
    </w:p>
    <w:p/>
    <w:p>
      <w:pPr>
        <w:pStyle w:val="3"/>
      </w:pPr>
    </w:p>
    <w:p/>
    <w:p>
      <w:pPr>
        <w:pStyle w:val="3"/>
      </w:pPr>
    </w:p>
    <w:p>
      <w:pPr>
        <w:snapToGrid w:val="0"/>
        <w:spacing w:line="360" w:lineRule="auto"/>
        <w:jc w:val="left"/>
        <w:rPr>
          <w:rFonts w:ascii="仿宋" w:hAnsi="仿宋" w:eastAsia="仿宋"/>
          <w:b/>
          <w:bCs/>
          <w:sz w:val="32"/>
          <w:szCs w:val="32"/>
        </w:rPr>
      </w:pPr>
    </w:p>
    <w:p>
      <w:pPr>
        <w:snapToGrid w:val="0"/>
        <w:spacing w:line="360" w:lineRule="auto"/>
        <w:jc w:val="left"/>
        <w:rPr>
          <w:rFonts w:ascii="仿宋" w:hAnsi="仿宋" w:eastAsia="仿宋"/>
          <w:b/>
          <w:bCs/>
          <w:sz w:val="32"/>
          <w:szCs w:val="32"/>
        </w:rPr>
      </w:pPr>
    </w:p>
    <w:p>
      <w:pPr>
        <w:pStyle w:val="3"/>
        <w:rPr>
          <w:rFonts w:ascii="仿宋" w:hAnsi="仿宋" w:eastAsia="仿宋"/>
          <w:b/>
          <w:bCs/>
          <w:sz w:val="32"/>
          <w:szCs w:val="32"/>
        </w:rPr>
      </w:pPr>
    </w:p>
    <w:p>
      <w:pPr>
        <w:rPr>
          <w:rFonts w:ascii="仿宋" w:hAnsi="仿宋" w:eastAsia="仿宋"/>
          <w:b/>
          <w:bCs/>
          <w:sz w:val="32"/>
          <w:szCs w:val="32"/>
        </w:rPr>
      </w:pPr>
    </w:p>
    <w:p>
      <w:pPr>
        <w:pStyle w:val="3"/>
        <w:rPr>
          <w:rFonts w:ascii="仿宋" w:hAnsi="仿宋" w:eastAsia="仿宋"/>
          <w:b/>
          <w:bCs/>
          <w:sz w:val="32"/>
          <w:szCs w:val="32"/>
        </w:rPr>
      </w:pPr>
    </w:p>
    <w:p>
      <w:pPr>
        <w:rPr>
          <w:rFonts w:ascii="仿宋" w:hAnsi="仿宋" w:eastAsia="仿宋"/>
          <w:b/>
          <w:bCs/>
          <w:sz w:val="32"/>
          <w:szCs w:val="32"/>
        </w:rPr>
      </w:pPr>
    </w:p>
    <w:p>
      <w:pPr>
        <w:jc w:val="both"/>
        <w:rPr>
          <w:rFonts w:hint="eastAsia" w:ascii="仿宋" w:hAnsi="仿宋" w:eastAsia="仿宋"/>
          <w:b/>
          <w:sz w:val="36"/>
          <w:szCs w:val="36"/>
          <w:lang w:eastAsia="zh-CN"/>
        </w:rPr>
      </w:pPr>
    </w:p>
    <w:p>
      <w:pPr>
        <w:pStyle w:val="2"/>
        <w:rPr>
          <w:rFonts w:hint="eastAsia"/>
          <w:lang w:eastAsia="zh-CN"/>
        </w:rPr>
      </w:pPr>
    </w:p>
    <w:p>
      <w:pPr>
        <w:jc w:val="center"/>
        <w:rPr>
          <w:rFonts w:hint="eastAsia" w:ascii="仿宋" w:hAnsi="仿宋" w:eastAsia="仿宋"/>
          <w:b/>
          <w:sz w:val="36"/>
          <w:szCs w:val="36"/>
          <w:lang w:eastAsia="zh-CN"/>
        </w:rPr>
      </w:pPr>
    </w:p>
    <w:p>
      <w:pPr>
        <w:jc w:val="center"/>
        <w:rPr>
          <w:rFonts w:hint="eastAsia" w:ascii="仿宋" w:hAnsi="仿宋" w:eastAsia="仿宋"/>
          <w:b/>
          <w:sz w:val="36"/>
          <w:szCs w:val="36"/>
          <w:lang w:eastAsia="zh-CN"/>
        </w:rPr>
      </w:pPr>
    </w:p>
    <w:p>
      <w:pPr>
        <w:jc w:val="center"/>
        <w:rPr>
          <w:rFonts w:hint="eastAsia" w:ascii="仿宋" w:hAnsi="仿宋" w:eastAsia="仿宋"/>
          <w:b/>
          <w:sz w:val="36"/>
          <w:szCs w:val="36"/>
          <w:lang w:eastAsia="zh-CN"/>
        </w:rPr>
      </w:pPr>
    </w:p>
    <w:p>
      <w:pPr>
        <w:jc w:val="center"/>
        <w:rPr>
          <w:rFonts w:hint="eastAsia" w:ascii="仿宋" w:hAnsi="仿宋" w:eastAsia="仿宋"/>
          <w:b/>
          <w:sz w:val="36"/>
          <w:szCs w:val="36"/>
          <w:lang w:eastAsia="zh-CN"/>
        </w:rPr>
      </w:pPr>
    </w:p>
    <w:p>
      <w:pPr>
        <w:jc w:val="center"/>
        <w:rPr>
          <w:rFonts w:hint="eastAsia" w:eastAsia="仿宋"/>
          <w:lang w:eastAsia="zh-CN"/>
        </w:rPr>
      </w:pPr>
      <w:r>
        <w:rPr>
          <w:rFonts w:hint="eastAsia" w:ascii="仿宋" w:hAnsi="仿宋" w:eastAsia="仿宋"/>
          <w:b/>
          <w:sz w:val="36"/>
          <w:szCs w:val="36"/>
          <w:lang w:eastAsia="zh-CN"/>
        </w:rPr>
        <w:t>重庆江北国际机场T2、T3航站楼联通5G信号覆盖建设工程线路敷设及设备安装项目</w:t>
      </w:r>
      <w:r>
        <w:rPr>
          <w:rFonts w:hint="eastAsia" w:ascii="仿宋" w:hAnsi="仿宋" w:eastAsia="仿宋"/>
          <w:b/>
          <w:sz w:val="36"/>
          <w:szCs w:val="36"/>
        </w:rPr>
        <w:t>合同</w:t>
      </w:r>
      <w:r>
        <w:rPr>
          <w:rFonts w:hint="eastAsia" w:ascii="仿宋" w:hAnsi="仿宋" w:eastAsia="仿宋"/>
          <w:b/>
          <w:sz w:val="36"/>
          <w:szCs w:val="36"/>
          <w:lang w:eastAsia="zh-CN"/>
        </w:rPr>
        <w:t>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5"/>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lang w:eastAsia="zh-CN"/>
        </w:rPr>
        <w:t>重庆江北国际机场T2、T3航站楼联通5G信号覆盖建设工程线路敷设及设备安装项目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hint="eastAsia" w:ascii="仿宋" w:hAnsi="仿宋" w:eastAsia="仿宋" w:cs="仿宋"/>
          <w:kern w:val="0"/>
          <w:sz w:val="28"/>
          <w:szCs w:val="28"/>
          <w:u w:val="single"/>
          <w:lang w:eastAsia="zh-CN"/>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lang w:eastAsia="zh-CN"/>
        </w:rPr>
        <w:t>重庆江北国际机场T2、T3航站楼联通5G信号覆盖线建设项目线路敷设及设备安装</w:t>
      </w:r>
    </w:p>
    <w:p>
      <w:pPr>
        <w:spacing w:line="360" w:lineRule="auto"/>
        <w:rPr>
          <w:rFonts w:hint="eastAsia" w:ascii="仿宋" w:hAnsi="仿宋" w:eastAsia="仿宋" w:cs="仿宋"/>
          <w:kern w:val="0"/>
          <w:sz w:val="28"/>
          <w:szCs w:val="28"/>
          <w:u w:val="single"/>
          <w:lang w:eastAsia="zh-CN"/>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lang w:eastAsia="zh-CN"/>
        </w:rPr>
        <w:t>T2、T3航站楼及隔离区</w:t>
      </w:r>
    </w:p>
    <w:p>
      <w:pPr>
        <w:spacing w:line="360" w:lineRule="auto"/>
        <w:rPr>
          <w:rFonts w:hint="eastAsia" w:ascii="仿宋" w:hAnsi="仿宋" w:eastAsia="仿宋" w:cs="仿宋"/>
          <w:sz w:val="28"/>
          <w:szCs w:val="28"/>
          <w:u w:val="single"/>
          <w:lang w:eastAsia="zh-CN"/>
        </w:rPr>
      </w:pPr>
      <w:r>
        <w:rPr>
          <w:rFonts w:hint="eastAsia" w:ascii="仿宋" w:hAnsi="仿宋" w:eastAsia="仿宋" w:cs="仿宋"/>
          <w:sz w:val="28"/>
          <w:szCs w:val="28"/>
        </w:rPr>
        <w:t>工程概况:</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eastAsia="zh-CN"/>
        </w:rPr>
        <w:t>设备安装、管线敷设、光缆熔接。</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本项目拟在</w:t>
      </w:r>
      <w:r>
        <w:rPr>
          <w:rFonts w:hint="eastAsia" w:ascii="仿宋" w:hAnsi="仿宋" w:eastAsia="仿宋"/>
          <w:sz w:val="28"/>
          <w:szCs w:val="28"/>
          <w:lang w:eastAsia="zh-CN"/>
        </w:rPr>
        <w:t>重庆江北国际机场T2、T3航站楼及隔离区建设联通5G信号覆盖项目，敷设线路，安装相关设备等</w:t>
      </w:r>
      <w:r>
        <w:rPr>
          <w:rFonts w:hint="eastAsia" w:ascii="仿宋" w:hAnsi="仿宋" w:eastAsia="仿宋"/>
          <w:sz w:val="28"/>
          <w:szCs w:val="28"/>
          <w:lang w:val="en-US" w:eastAsia="zh-CN"/>
        </w:rPr>
        <w:t>。施工时间为航后施工</w:t>
      </w:r>
      <w:r>
        <w:rPr>
          <w:rFonts w:hint="eastAsia" w:ascii="仿宋" w:hAnsi="仿宋" w:eastAsia="仿宋"/>
          <w:sz w:val="28"/>
          <w:szCs w:val="28"/>
        </w:rPr>
        <w:t>。在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w:t>
      </w:r>
      <w:r>
        <w:rPr>
          <w:rFonts w:hint="eastAsia" w:ascii="仿宋" w:hAnsi="仿宋" w:eastAsia="仿宋" w:cs="仿宋"/>
          <w:sz w:val="28"/>
          <w:szCs w:val="28"/>
          <w:lang w:eastAsia="zh-CN"/>
        </w:rPr>
        <w:t>、</w:t>
      </w:r>
      <w:r>
        <w:rPr>
          <w:rFonts w:hint="eastAsia" w:ascii="仿宋" w:hAnsi="仿宋" w:eastAsia="仿宋" w:cs="仿宋"/>
          <w:sz w:val="28"/>
          <w:szCs w:val="28"/>
        </w:rPr>
        <w:t>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1、合同价款为（不含税）：</w:t>
      </w:r>
      <w:r>
        <w:rPr>
          <w:rFonts w:hint="eastAsia" w:ascii="仿宋" w:hAnsi="仿宋" w:eastAsia="仿宋" w:cs="仿宋"/>
          <w:sz w:val="28"/>
          <w:szCs w:val="28"/>
          <w:lang w:val="en-US"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)/套</w:t>
      </w:r>
      <w:r>
        <w:rPr>
          <w:rFonts w:hint="eastAsia" w:ascii="仿宋" w:hAnsi="仿宋" w:eastAsia="仿宋" w:cs="仿宋"/>
          <w:sz w:val="28"/>
          <w:szCs w:val="28"/>
        </w:rPr>
        <w:t>(￥     )</w:t>
      </w:r>
      <w:r>
        <w:rPr>
          <w:rFonts w:hint="eastAsia" w:ascii="仿宋" w:hAnsi="仿宋" w:eastAsia="仿宋" w:cs="仿宋"/>
          <w:sz w:val="28"/>
          <w:szCs w:val="28"/>
          <w:lang w:val="en-US" w:eastAsia="zh-CN"/>
        </w:rPr>
        <w:t>/套</w:t>
      </w:r>
      <w:r>
        <w:rPr>
          <w:rFonts w:hint="eastAsia" w:ascii="仿宋" w:hAnsi="仿宋" w:eastAsia="仿宋" w:cs="仿宋"/>
          <w:sz w:val="28"/>
          <w:szCs w:val="28"/>
        </w:rPr>
        <w:t>。工程完工验收后办理结算及档案移交手续，结算采用增值税专票结算，增值税税率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%。本项目的合同价格形式为固定单价合同，设备数量最终以重庆机场信息通信网络有限公司审核结算为准。</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w:t>
      </w:r>
      <w:r>
        <w:rPr>
          <w:rFonts w:hint="eastAsia" w:ascii="仿宋" w:hAnsi="仿宋" w:eastAsia="仿宋" w:cs="仿宋"/>
          <w:sz w:val="28"/>
          <w:szCs w:val="28"/>
          <w:lang w:val="en-US" w:eastAsia="zh-CN"/>
        </w:rPr>
        <w:t>7</w:t>
      </w:r>
      <w:r>
        <w:rPr>
          <w:rFonts w:hint="eastAsia" w:ascii="仿宋" w:hAnsi="仿宋" w:eastAsia="仿宋" w:cs="仿宋"/>
          <w:sz w:val="28"/>
          <w:szCs w:val="28"/>
        </w:rPr>
        <w:t>%；剩余的</w:t>
      </w:r>
      <w:r>
        <w:rPr>
          <w:rFonts w:hint="eastAsia" w:ascii="仿宋" w:hAnsi="仿宋" w:eastAsia="仿宋" w:cs="仿宋"/>
          <w:sz w:val="28"/>
          <w:szCs w:val="28"/>
          <w:lang w:val="en-US" w:eastAsia="zh-CN"/>
        </w:rPr>
        <w:t>3</w:t>
      </w:r>
      <w:r>
        <w:rPr>
          <w:rFonts w:hint="eastAsia" w:ascii="仿宋" w:hAnsi="仿宋" w:eastAsia="仿宋" w:cs="仿宋"/>
          <w:sz w:val="28"/>
          <w:szCs w:val="28"/>
        </w:rPr>
        <w:t>%作为质保金，贰年后，如乙方并无违约责任，甲方无息支付。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297216200"/>
      <w:bookmarkStart w:id="2" w:name="_Toc303539147"/>
      <w:bookmarkStart w:id="3" w:name="_Toc296891234"/>
      <w:bookmarkStart w:id="4" w:name="_Toc292559399"/>
      <w:bookmarkStart w:id="5" w:name="_Toc296891022"/>
      <w:bookmarkStart w:id="6" w:name="_Toc297048380"/>
      <w:bookmarkStart w:id="7" w:name="_Toc296503194"/>
      <w:bookmarkStart w:id="8" w:name="_Toc296944533"/>
      <w:bookmarkStart w:id="9" w:name="_Toc312678026"/>
      <w:bookmarkStart w:id="10" w:name="_Toc297120494"/>
      <w:bookmarkStart w:id="11" w:name="_Toc296347193"/>
      <w:bookmarkStart w:id="12" w:name="_Toc292559904"/>
      <w:bookmarkStart w:id="13" w:name="_Toc312677500"/>
      <w:bookmarkStart w:id="14" w:name="_Toc300934990"/>
      <w:bookmarkStart w:id="15" w:name="_Toc296346695"/>
      <w:bookmarkStart w:id="16" w:name="_Toc297123541"/>
      <w:bookmarkStart w:id="17" w:name="_Toc304295567"/>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292559408"/>
      <w:bookmarkStart w:id="21" w:name="_Toc300934994"/>
      <w:bookmarkStart w:id="22" w:name="_Toc296891031"/>
      <w:bookmarkStart w:id="23" w:name="_Toc292559913"/>
      <w:bookmarkStart w:id="24" w:name="_Toc296891243"/>
      <w:bookmarkStart w:id="25" w:name="_Toc297048389"/>
      <w:bookmarkStart w:id="26" w:name="_Toc296346704"/>
      <w:bookmarkStart w:id="27" w:name="_Toc303539151"/>
      <w:bookmarkStart w:id="28" w:name="_Toc296347202"/>
      <w:bookmarkStart w:id="29" w:name="_Toc312677503"/>
      <w:bookmarkStart w:id="30" w:name="_Toc297120503"/>
      <w:bookmarkStart w:id="31" w:name="_Toc312678029"/>
      <w:bookmarkStart w:id="32" w:name="_Toc297216204"/>
      <w:bookmarkStart w:id="33" w:name="_Toc296503203"/>
      <w:bookmarkStart w:id="34" w:name="_Toc296944542"/>
      <w:bookmarkStart w:id="35" w:name="_Toc304295570"/>
      <w:bookmarkStart w:id="36" w:name="_Toc297123545"/>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rPr>
      </w:pPr>
      <w:bookmarkStart w:id="37" w:name="_Toc303539152"/>
      <w:bookmarkStart w:id="38" w:name="_Toc297216205"/>
      <w:bookmarkStart w:id="39" w:name="_Toc300934995"/>
      <w:bookmarkStart w:id="40" w:name="_Toc292559914"/>
      <w:bookmarkStart w:id="41" w:name="_Toc312677504"/>
      <w:bookmarkStart w:id="42" w:name="_Toc304295571"/>
      <w:bookmarkStart w:id="43" w:name="_Toc296347203"/>
      <w:bookmarkStart w:id="44" w:name="_Toc312678030"/>
      <w:bookmarkStart w:id="45" w:name="_Toc297123546"/>
      <w:bookmarkStart w:id="46" w:name="_Toc318581175"/>
      <w:bookmarkStart w:id="47" w:name="_Toc296891032"/>
      <w:bookmarkStart w:id="48" w:name="_Toc297120504"/>
      <w:bookmarkStart w:id="49" w:name="_Toc296891244"/>
      <w:bookmarkStart w:id="50" w:name="_Toc292559409"/>
      <w:bookmarkStart w:id="51" w:name="_Toc296944543"/>
      <w:bookmarkStart w:id="52" w:name="_Toc297048390"/>
      <w:bookmarkStart w:id="53" w:name="_Toc296346705"/>
      <w:bookmarkStart w:id="54" w:name="_Toc296503204"/>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5"/>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5"/>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5"/>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5"/>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snapToGrid w:val="0"/>
        <w:spacing w:line="360" w:lineRule="auto"/>
        <w:jc w:val="center"/>
        <w:rPr>
          <w:rFonts w:hint="eastAsia" w:ascii="仿宋" w:hAnsi="仿宋" w:eastAsia="仿宋"/>
          <w:b/>
          <w:bCs/>
          <w:sz w:val="28"/>
          <w:szCs w:val="28"/>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r>
        <w:rPr>
          <w:rFonts w:hint="eastAsia" w:ascii="仿宋" w:hAnsi="仿宋" w:eastAsia="仿宋"/>
          <w:b/>
          <w:bCs/>
          <w:sz w:val="32"/>
          <w:szCs w:val="32"/>
          <w:lang w:eastAsia="zh-CN"/>
        </w:rPr>
        <w:t>重庆江北国际机场T2、T3航站楼联通5G信号覆盖建设工程线路敷设及设备安装项目清单</w:t>
      </w:r>
    </w:p>
    <w:tbl>
      <w:tblPr>
        <w:tblStyle w:val="11"/>
        <w:tblW w:w="4998" w:type="pct"/>
        <w:tblInd w:w="0" w:type="dxa"/>
        <w:shd w:val="clear" w:color="auto" w:fill="auto"/>
        <w:tblLayout w:type="autofit"/>
        <w:tblCellMar>
          <w:top w:w="0" w:type="dxa"/>
          <w:left w:w="0" w:type="dxa"/>
          <w:bottom w:w="0" w:type="dxa"/>
          <w:right w:w="0" w:type="dxa"/>
        </w:tblCellMar>
      </w:tblPr>
      <w:tblGrid>
        <w:gridCol w:w="755"/>
        <w:gridCol w:w="1427"/>
        <w:gridCol w:w="2528"/>
        <w:gridCol w:w="1347"/>
        <w:gridCol w:w="870"/>
        <w:gridCol w:w="2845"/>
      </w:tblGrid>
      <w:tr>
        <w:tblPrEx>
          <w:shd w:val="clear" w:color="auto" w:fill="auto"/>
          <w:tblCellMar>
            <w:top w:w="0" w:type="dxa"/>
            <w:left w:w="0" w:type="dxa"/>
            <w:bottom w:w="0" w:type="dxa"/>
            <w:right w:w="0" w:type="dxa"/>
          </w:tblCellMar>
        </w:tblPrEx>
        <w:trPr>
          <w:trHeight w:val="895"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材料名称</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项目特征</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光电复合缆</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规格、型号:光电复合缆</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2.敷设部位:配线间-点位</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3.敷设方式:桥架内安装，末端穿管保护</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光纤连接</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方法:机械熔接法</w:t>
            </w:r>
            <w:r>
              <w:rPr>
                <w:rFonts w:hint="eastAsia" w:ascii="宋体" w:hAnsi="宋体" w:eastAsia="宋体" w:cs="宋体"/>
                <w:i w:val="0"/>
                <w:iCs w:val="0"/>
                <w:color w:val="000000"/>
                <w:kern w:val="2"/>
                <w:sz w:val="18"/>
                <w:szCs w:val="18"/>
                <w:u w:val="none"/>
                <w:lang w:val="en-US" w:eastAsia="zh-CN" w:bidi="ar-SA"/>
              </w:rPr>
              <w:br w:type="textWrapping"/>
            </w:r>
            <w:r>
              <w:rPr>
                <w:rFonts w:hint="eastAsia" w:ascii="宋体" w:hAnsi="宋体" w:eastAsia="宋体" w:cs="宋体"/>
                <w:i w:val="0"/>
                <w:iCs w:val="0"/>
                <w:color w:val="000000"/>
                <w:kern w:val="2"/>
                <w:sz w:val="18"/>
                <w:szCs w:val="18"/>
                <w:u w:val="none"/>
                <w:lang w:val="en-US" w:eastAsia="zh-CN" w:bidi="ar-SA"/>
              </w:rPr>
              <w:t>2.模式:</w:t>
            </w:r>
            <w:r>
              <w:rPr>
                <w:rFonts w:hint="eastAsia" w:ascii="宋体" w:hAnsi="宋体" w:cs="宋体"/>
                <w:i w:val="0"/>
                <w:iCs w:val="0"/>
                <w:color w:val="000000"/>
                <w:kern w:val="2"/>
                <w:sz w:val="18"/>
                <w:szCs w:val="18"/>
                <w:u w:val="none"/>
                <w:lang w:val="en-US" w:eastAsia="zh-CN" w:bidi="ar-SA"/>
              </w:rPr>
              <w:t>单模</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auto"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台</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tblCellMar>
            <w:top w:w="0" w:type="dxa"/>
            <w:left w:w="0" w:type="dxa"/>
            <w:bottom w:w="0" w:type="dxa"/>
            <w:right w:w="0" w:type="dxa"/>
          </w:tblCellMar>
        </w:tblPrEx>
        <w:trPr>
          <w:trHeight w:val="454"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PRRU</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w:t>
            </w:r>
            <w:r>
              <w:rPr>
                <w:rFonts w:hint="eastAsia" w:ascii="宋体" w:hAnsi="宋体" w:eastAsia="宋体" w:cs="宋体"/>
                <w:i w:val="0"/>
                <w:iCs w:val="0"/>
                <w:color w:val="000000"/>
                <w:kern w:val="2"/>
                <w:sz w:val="18"/>
                <w:szCs w:val="18"/>
                <w:u w:val="none"/>
                <w:lang w:val="en-US" w:eastAsia="zh-CN" w:bidi="ar-SA"/>
              </w:rPr>
              <w:t>名称:设备安装</w:t>
            </w:r>
            <w:r>
              <w:rPr>
                <w:rFonts w:hint="eastAsia" w:ascii="宋体" w:hAnsi="宋体" w:eastAsia="宋体" w:cs="宋体"/>
                <w:i w:val="0"/>
                <w:iCs w:val="0"/>
                <w:color w:val="000000"/>
                <w:kern w:val="2"/>
                <w:sz w:val="18"/>
                <w:szCs w:val="18"/>
                <w:u w:val="none"/>
                <w:lang w:val="en-US" w:eastAsia="zh-CN" w:bidi="ar-SA"/>
              </w:rPr>
              <w:br w:type="textWrapping"/>
            </w:r>
            <w:r>
              <w:rPr>
                <w:rFonts w:hint="eastAsia" w:ascii="宋体" w:hAnsi="宋体" w:eastAsia="宋体" w:cs="宋体"/>
                <w:i w:val="0"/>
                <w:iCs w:val="0"/>
                <w:color w:val="000000"/>
                <w:kern w:val="2"/>
                <w:sz w:val="18"/>
                <w:szCs w:val="18"/>
                <w:u w:val="none"/>
                <w:lang w:val="en-US" w:eastAsia="zh-CN" w:bidi="ar-SA"/>
              </w:rPr>
              <w:t>2.安装方式:吊顶</w:t>
            </w:r>
            <w:r>
              <w:rPr>
                <w:rFonts w:hint="eastAsia" w:ascii="宋体" w:hAnsi="宋体" w:cs="宋体"/>
                <w:i w:val="0"/>
                <w:iCs w:val="0"/>
                <w:color w:val="000000"/>
                <w:kern w:val="2"/>
                <w:sz w:val="18"/>
                <w:szCs w:val="18"/>
                <w:u w:val="none"/>
                <w:lang w:val="en-US" w:eastAsia="zh-CN" w:bidi="ar-SA"/>
              </w:rPr>
              <w:t>明装</w:t>
            </w: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套</w:t>
            </w:r>
          </w:p>
        </w:tc>
        <w:tc>
          <w:tcPr>
            <w:tcW w:w="145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r>
        <w:tblPrEx>
          <w:tblCellMar>
            <w:top w:w="0" w:type="dxa"/>
            <w:left w:w="0" w:type="dxa"/>
            <w:bottom w:w="0" w:type="dxa"/>
            <w:right w:w="0" w:type="dxa"/>
          </w:tblCellMar>
        </w:tblPrEx>
        <w:trPr>
          <w:trHeight w:val="1009" w:hRule="atLeast"/>
        </w:trPr>
        <w:tc>
          <w:tcPr>
            <w:tcW w:w="386"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730"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辅材（若有）</w:t>
            </w:r>
          </w:p>
        </w:tc>
        <w:tc>
          <w:tcPr>
            <w:tcW w:w="1293"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68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依据甲方提供的施工图自行测算</w:t>
            </w:r>
          </w:p>
        </w:tc>
        <w:tc>
          <w:tcPr>
            <w:tcW w:w="445"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批</w:t>
            </w:r>
          </w:p>
        </w:tc>
        <w:tc>
          <w:tcPr>
            <w:tcW w:w="1455" w:type="pct"/>
            <w:tcBorders>
              <w:top w:val="single" w:color="000000" w:sz="4" w:space="0"/>
              <w:left w:val="single" w:color="000000" w:sz="4" w:space="0"/>
              <w:bottom w:val="single" w:color="auto"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r>
    </w:tbl>
    <w:p>
      <w:pPr>
        <w:widowControl/>
        <w:jc w:val="left"/>
        <w:textAlignment w:val="center"/>
        <w:rPr>
          <w:rFonts w:hint="eastAsia" w:ascii="仿宋" w:hAnsi="仿宋" w:eastAsia="仿宋" w:cs="仿宋"/>
          <w:color w:val="000000"/>
          <w:kern w:val="0"/>
          <w:szCs w:val="21"/>
          <w:lang w:bidi="ar"/>
        </w:rPr>
      </w:pPr>
    </w:p>
    <w:tbl>
      <w:tblPr>
        <w:tblStyle w:val="11"/>
        <w:tblW w:w="5000" w:type="pct"/>
        <w:tblInd w:w="0" w:type="dxa"/>
        <w:shd w:val="clear" w:color="auto" w:fill="auto"/>
        <w:tblLayout w:type="fixed"/>
        <w:tblCellMar>
          <w:top w:w="0" w:type="dxa"/>
          <w:left w:w="108" w:type="dxa"/>
          <w:bottom w:w="0" w:type="dxa"/>
          <w:right w:w="108" w:type="dxa"/>
        </w:tblCellMar>
      </w:tblPr>
      <w:tblGrid>
        <w:gridCol w:w="436"/>
        <w:gridCol w:w="1928"/>
        <w:gridCol w:w="345"/>
        <w:gridCol w:w="1095"/>
        <w:gridCol w:w="1785"/>
        <w:gridCol w:w="2408"/>
        <w:gridCol w:w="1965"/>
      </w:tblGrid>
      <w:tr>
        <w:tblPrEx>
          <w:shd w:val="clear" w:color="auto" w:fill="auto"/>
          <w:tblCellMar>
            <w:top w:w="0" w:type="dxa"/>
            <w:left w:w="108" w:type="dxa"/>
            <w:bottom w:w="0" w:type="dxa"/>
            <w:right w:w="108" w:type="dxa"/>
          </w:tblCellMar>
        </w:tblPrEx>
        <w:trPr>
          <w:trHeight w:val="900"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PRRU每单位安装清单</w:t>
            </w: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序号</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材料名称</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数量</w:t>
            </w:r>
          </w:p>
        </w:tc>
        <w:tc>
          <w:tcPr>
            <w:tcW w:w="89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单价控制价（元）（不含税）</w:t>
            </w:r>
          </w:p>
        </w:tc>
        <w:tc>
          <w:tcPr>
            <w:tcW w:w="21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备注</w:t>
            </w:r>
          </w:p>
        </w:tc>
      </w:tr>
      <w:tr>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PRRU</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89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1000元/套</w:t>
            </w: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restart"/>
            <w:tcBorders>
              <w:top w:val="single" w:color="000000" w:sz="4" w:space="0"/>
              <w:left w:val="single" w:color="auto" w:sz="4" w:space="0"/>
              <w:right w:val="single" w:color="000000" w:sz="4" w:space="0"/>
            </w:tcBorders>
            <w:shd w:val="clear" w:color="auto" w:fill="auto"/>
            <w:noWrap/>
            <w:vAlign w:val="center"/>
          </w:tcPr>
          <w:p>
            <w:pPr>
              <w:pStyle w:val="2"/>
              <w:keepNext w:val="0"/>
              <w:keepLines w:val="0"/>
              <w:pageBreakBefore w:val="0"/>
              <w:numPr>
                <w:ilvl w:val="0"/>
                <w:numId w:val="0"/>
              </w:numPr>
              <w:kinsoku/>
              <w:wordWrap/>
              <w:overflowPunct/>
              <w:topLinePunct w:val="0"/>
              <w:autoSpaceDE/>
              <w:autoSpaceDN/>
              <w:bidi w:val="0"/>
              <w:adjustRightInd/>
              <w:snapToGrid/>
              <w:spacing w:line="240" w:lineRule="auto"/>
              <w:jc w:val="both"/>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每套PRRU设备安装包括相应的线路敷设与光纤连接等。</w:t>
            </w: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25G单芯双向光模块</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块</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单芯单模跳纤 LC-LC-1m</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电源头子</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单芯热熔管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熔接保护套管</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根</w:t>
            </w:r>
          </w:p>
        </w:tc>
        <w:tc>
          <w:tcPr>
            <w:tcW w:w="549"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89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c>
          <w:tcPr>
            <w:tcW w:w="120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甲供材料</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乙方安装</w:t>
            </w:r>
            <w:r>
              <w:rPr>
                <w:rFonts w:hint="eastAsia" w:ascii="宋体" w:hAnsi="宋体" w:cs="宋体"/>
                <w:i w:val="0"/>
                <w:color w:val="000000"/>
                <w:kern w:val="0"/>
                <w:sz w:val="18"/>
                <w:szCs w:val="18"/>
                <w:u w:val="none"/>
                <w:lang w:val="en-US" w:eastAsia="zh-CN" w:bidi="ar"/>
              </w:rPr>
              <w:t>并调试</w:t>
            </w:r>
          </w:p>
        </w:tc>
        <w:tc>
          <w:tcPr>
            <w:tcW w:w="986" w:type="pct"/>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注：</w:t>
      </w:r>
    </w:p>
    <w:p>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val="en-US" w:eastAsia="zh-CN" w:bidi="ar"/>
        </w:rPr>
        <w:t>线路敷设及设备安装数量实际以</w:t>
      </w:r>
      <w:r>
        <w:rPr>
          <w:rFonts w:hint="eastAsia" w:ascii="仿宋" w:hAnsi="仿宋" w:eastAsia="仿宋" w:cs="仿宋"/>
          <w:color w:val="000000"/>
          <w:kern w:val="0"/>
          <w:sz w:val="24"/>
          <w:szCs w:val="24"/>
          <w:lang w:bidi="ar"/>
        </w:rPr>
        <w:t>施工图</w:t>
      </w:r>
      <w:r>
        <w:rPr>
          <w:rFonts w:hint="eastAsia" w:ascii="仿宋" w:hAnsi="仿宋" w:eastAsia="仿宋" w:cs="仿宋"/>
          <w:color w:val="000000"/>
          <w:kern w:val="0"/>
          <w:sz w:val="24"/>
          <w:szCs w:val="24"/>
          <w:lang w:eastAsia="zh-CN" w:bidi="ar"/>
        </w:rPr>
        <w:t>与甲方需求为准</w:t>
      </w:r>
      <w:r>
        <w:rPr>
          <w:rFonts w:hint="eastAsia" w:ascii="仿宋" w:hAnsi="仿宋" w:eastAsia="仿宋" w:cs="仿宋"/>
          <w:color w:val="000000"/>
          <w:kern w:val="0"/>
          <w:sz w:val="24"/>
          <w:szCs w:val="24"/>
          <w:lang w:bidi="ar"/>
        </w:rPr>
        <w:t>。</w:t>
      </w:r>
    </w:p>
    <w:p>
      <w:pPr>
        <w:rPr>
          <w:rFonts w:hint="eastAsia"/>
          <w:lang w:val="en-US" w:eastAsia="zh-CN"/>
        </w:rPr>
      </w:pPr>
    </w:p>
    <w:p>
      <w:pPr>
        <w:widowControl/>
        <w:jc w:val="left"/>
        <w:textAlignment w:val="center"/>
        <w:rPr>
          <w:rFonts w:hint="eastAsia" w:ascii="仿宋" w:hAnsi="仿宋" w:eastAsia="仿宋" w:cs="仿宋"/>
          <w:color w:val="000000"/>
          <w:kern w:val="0"/>
          <w:szCs w:val="21"/>
          <w:lang w:val="en-US" w:eastAsia="zh-CN" w:bidi="ar"/>
        </w:rPr>
      </w:pPr>
    </w:p>
    <w:p>
      <w:pPr>
        <w:pStyle w:val="2"/>
      </w:pPr>
    </w:p>
    <w:p>
      <w:pPr>
        <w:sectPr>
          <w:footerReference r:id="rId4"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hint="eastAsia" w:ascii="仿宋" w:hAnsi="仿宋" w:eastAsia="仿宋"/>
          <w:sz w:val="24"/>
          <w:u w:val="single"/>
          <w:lang w:eastAsia="zh-CN"/>
        </w:rPr>
        <w:t>（</w:t>
      </w:r>
      <w:r>
        <w:rPr>
          <w:rFonts w:hint="eastAsia" w:ascii="仿宋" w:hAnsi="仿宋" w:eastAsia="仿宋"/>
          <w:sz w:val="24"/>
          <w:u w:val="single"/>
          <w:lang w:val="en-US" w:eastAsia="zh-CN"/>
        </w:rPr>
        <w:t xml:space="preserve">         </w:t>
      </w:r>
      <w:r>
        <w:rPr>
          <w:rFonts w:hint="eastAsia" w:ascii="仿宋" w:hAnsi="仿宋" w:eastAsia="仿宋"/>
          <w:sz w:val="24"/>
          <w:u w:val="single"/>
          <w:lang w:eastAsia="zh-CN"/>
        </w:rPr>
        <w:t>）</w:t>
      </w:r>
      <w:r>
        <w:rPr>
          <w:rFonts w:hint="eastAsia" w:ascii="仿宋" w:hAnsi="仿宋" w:eastAsia="仿宋"/>
          <w:sz w:val="24"/>
          <w:u w:val="single"/>
          <w:lang w:val="en-US" w:eastAsia="zh-CN"/>
        </w:rPr>
        <w:t>/套</w:t>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u w:val="single"/>
        </w:rPr>
        <w:t>）</w:t>
      </w:r>
      <w:r>
        <w:rPr>
          <w:rFonts w:hint="eastAsia" w:ascii="仿宋" w:hAnsi="仿宋" w:eastAsia="仿宋"/>
          <w:sz w:val="24"/>
          <w:u w:val="single"/>
          <w:lang w:val="en-US" w:eastAsia="zh-CN"/>
        </w:rPr>
        <w:t>/套</w:t>
      </w:r>
      <w:r>
        <w:rPr>
          <w:rFonts w:hint="eastAsia" w:ascii="仿宋" w:hAnsi="仿宋" w:eastAsia="仿宋"/>
          <w:b/>
          <w:bCs/>
          <w:sz w:val="24"/>
        </w:rPr>
        <w:t>不含增值税</w:t>
      </w:r>
      <w:r>
        <w:rPr>
          <w:rFonts w:hint="eastAsia" w:ascii="仿宋" w:hAnsi="仿宋" w:eastAsia="仿宋"/>
          <w:sz w:val="24"/>
        </w:rPr>
        <w:t>发票的</w:t>
      </w:r>
      <w:r>
        <w:rPr>
          <w:rFonts w:hint="eastAsia" w:ascii="仿宋" w:hAnsi="仿宋" w:eastAsia="仿宋"/>
          <w:sz w:val="24"/>
          <w:lang w:eastAsia="zh-CN"/>
        </w:rPr>
        <w:t>价格</w:t>
      </w:r>
      <w:r>
        <w:rPr>
          <w:rFonts w:hint="eastAsia" w:ascii="仿宋" w:hAnsi="仿宋" w:eastAsia="仿宋"/>
          <w:sz w:val="24"/>
        </w:rPr>
        <w:t>，增值税率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2"/>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w:t>
      </w:r>
      <w:r>
        <w:rPr>
          <w:rFonts w:hint="eastAsia" w:ascii="仿宋" w:hAnsi="仿宋" w:eastAsia="仿宋"/>
          <w:sz w:val="28"/>
          <w:szCs w:val="28"/>
          <w:lang w:val="en-US" w:eastAsia="zh-CN"/>
        </w:rPr>
        <w:t>1</w:t>
      </w: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rPr>
          <w:rFonts w:hint="default" w:eastAsia="仿宋"/>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jc w:val="center"/>
                    </w:pPr>
                    <w:r>
                      <w:fldChar w:fldCharType="begin"/>
                    </w:r>
                    <w:r>
                      <w:instrText xml:space="preserve"> PAGE   \* MERGEFORMAT </w:instrText>
                    </w:r>
                    <w:r>
                      <w:fldChar w:fldCharType="separate"/>
                    </w:r>
                    <w:r>
                      <w:rPr>
                        <w:lang w:val="zh-CN"/>
                      </w:rPr>
                      <w:t>22</w:t>
                    </w:r>
                    <w:r>
                      <w:rPr>
                        <w:lang w:val="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23EEAB2"/>
    <w:multiLevelType w:val="singleLevel"/>
    <w:tmpl w:val="723EEAB2"/>
    <w:lvl w:ilvl="0" w:tentative="0">
      <w:start w:val="1"/>
      <w:numFmt w:val="decimal"/>
      <w:suff w:val="nothing"/>
      <w:lvlText w:val="%1、"/>
      <w:lvlJc w:val="left"/>
    </w:lvl>
  </w:abstractNum>
  <w:abstractNum w:abstractNumId="3">
    <w:nsid w:val="78F37AB8"/>
    <w:multiLevelType w:val="singleLevel"/>
    <w:tmpl w:val="78F37AB8"/>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38163F"/>
    <w:rsid w:val="01626FAB"/>
    <w:rsid w:val="018E717F"/>
    <w:rsid w:val="01D70D79"/>
    <w:rsid w:val="0231616E"/>
    <w:rsid w:val="0255220C"/>
    <w:rsid w:val="031D02FD"/>
    <w:rsid w:val="03291F53"/>
    <w:rsid w:val="04062D68"/>
    <w:rsid w:val="04456BAA"/>
    <w:rsid w:val="04825AE2"/>
    <w:rsid w:val="04B87E1F"/>
    <w:rsid w:val="04CC1BF4"/>
    <w:rsid w:val="052B1F8E"/>
    <w:rsid w:val="054E544D"/>
    <w:rsid w:val="056D7425"/>
    <w:rsid w:val="05E9339C"/>
    <w:rsid w:val="06040D89"/>
    <w:rsid w:val="070B5040"/>
    <w:rsid w:val="071A20CE"/>
    <w:rsid w:val="07496C51"/>
    <w:rsid w:val="07B955D4"/>
    <w:rsid w:val="07E05361"/>
    <w:rsid w:val="08256B65"/>
    <w:rsid w:val="082836F7"/>
    <w:rsid w:val="087E38D0"/>
    <w:rsid w:val="08E81CA0"/>
    <w:rsid w:val="095F73C2"/>
    <w:rsid w:val="097825E0"/>
    <w:rsid w:val="09880968"/>
    <w:rsid w:val="09FA132D"/>
    <w:rsid w:val="0A1D4B48"/>
    <w:rsid w:val="0A257112"/>
    <w:rsid w:val="0AB213AF"/>
    <w:rsid w:val="0B083A6F"/>
    <w:rsid w:val="0B546271"/>
    <w:rsid w:val="0B6637D7"/>
    <w:rsid w:val="0B7F4501"/>
    <w:rsid w:val="0B9B78D3"/>
    <w:rsid w:val="0BD17FB5"/>
    <w:rsid w:val="0BD6635E"/>
    <w:rsid w:val="0C0238CE"/>
    <w:rsid w:val="0C31126B"/>
    <w:rsid w:val="0C5B1B3C"/>
    <w:rsid w:val="0C732F24"/>
    <w:rsid w:val="0C747A98"/>
    <w:rsid w:val="0CD768E3"/>
    <w:rsid w:val="0CF62D11"/>
    <w:rsid w:val="0D0B7304"/>
    <w:rsid w:val="0D133F3F"/>
    <w:rsid w:val="0D213FAD"/>
    <w:rsid w:val="0D3F15FA"/>
    <w:rsid w:val="0DEF29EE"/>
    <w:rsid w:val="0E285958"/>
    <w:rsid w:val="0EBF4EB5"/>
    <w:rsid w:val="0F3030BB"/>
    <w:rsid w:val="0FFA3780"/>
    <w:rsid w:val="10282309"/>
    <w:rsid w:val="10E304C1"/>
    <w:rsid w:val="10E951E5"/>
    <w:rsid w:val="115B15F2"/>
    <w:rsid w:val="11753B89"/>
    <w:rsid w:val="118A4051"/>
    <w:rsid w:val="11F90A84"/>
    <w:rsid w:val="12586453"/>
    <w:rsid w:val="127E18AD"/>
    <w:rsid w:val="12C5101F"/>
    <w:rsid w:val="12E05E9F"/>
    <w:rsid w:val="12EC79A4"/>
    <w:rsid w:val="13927B79"/>
    <w:rsid w:val="13BF4FDA"/>
    <w:rsid w:val="13FB29EF"/>
    <w:rsid w:val="14682070"/>
    <w:rsid w:val="14A04EA7"/>
    <w:rsid w:val="14C4009F"/>
    <w:rsid w:val="14C9153B"/>
    <w:rsid w:val="15375DCB"/>
    <w:rsid w:val="154D7B8F"/>
    <w:rsid w:val="1582148A"/>
    <w:rsid w:val="15CA3630"/>
    <w:rsid w:val="16E654BD"/>
    <w:rsid w:val="17290A46"/>
    <w:rsid w:val="174B45E7"/>
    <w:rsid w:val="17FE3D0A"/>
    <w:rsid w:val="182F5B97"/>
    <w:rsid w:val="183B210C"/>
    <w:rsid w:val="188B3A4E"/>
    <w:rsid w:val="19537C46"/>
    <w:rsid w:val="1A051862"/>
    <w:rsid w:val="1A911E14"/>
    <w:rsid w:val="1B2E65BD"/>
    <w:rsid w:val="1B85224B"/>
    <w:rsid w:val="1B974FA1"/>
    <w:rsid w:val="1BCC4A07"/>
    <w:rsid w:val="1BE20624"/>
    <w:rsid w:val="1BF811C2"/>
    <w:rsid w:val="1C2D30C9"/>
    <w:rsid w:val="1C301194"/>
    <w:rsid w:val="1C647CB5"/>
    <w:rsid w:val="1C753B32"/>
    <w:rsid w:val="1C9B0773"/>
    <w:rsid w:val="1D0B0229"/>
    <w:rsid w:val="1D367ABA"/>
    <w:rsid w:val="1D9D4DAC"/>
    <w:rsid w:val="1DB200C1"/>
    <w:rsid w:val="1DC47F34"/>
    <w:rsid w:val="1E1C1D03"/>
    <w:rsid w:val="1E2D4233"/>
    <w:rsid w:val="1E3209E3"/>
    <w:rsid w:val="1E3D3A10"/>
    <w:rsid w:val="1EA82D46"/>
    <w:rsid w:val="1F473000"/>
    <w:rsid w:val="1F835B0E"/>
    <w:rsid w:val="1F8F2194"/>
    <w:rsid w:val="1FC716A4"/>
    <w:rsid w:val="1FD64C35"/>
    <w:rsid w:val="1FEA4B9A"/>
    <w:rsid w:val="20EF3369"/>
    <w:rsid w:val="210A0042"/>
    <w:rsid w:val="212D69FF"/>
    <w:rsid w:val="212F7845"/>
    <w:rsid w:val="21695CB0"/>
    <w:rsid w:val="218C67B9"/>
    <w:rsid w:val="21B80824"/>
    <w:rsid w:val="21CD7183"/>
    <w:rsid w:val="21E57415"/>
    <w:rsid w:val="22701434"/>
    <w:rsid w:val="227B5781"/>
    <w:rsid w:val="23563A4C"/>
    <w:rsid w:val="239467CD"/>
    <w:rsid w:val="23B812A0"/>
    <w:rsid w:val="23CB487C"/>
    <w:rsid w:val="23DF5E61"/>
    <w:rsid w:val="240B5E0E"/>
    <w:rsid w:val="2436597B"/>
    <w:rsid w:val="24FE63F4"/>
    <w:rsid w:val="25520481"/>
    <w:rsid w:val="25DB5172"/>
    <w:rsid w:val="25DB54D6"/>
    <w:rsid w:val="263368AB"/>
    <w:rsid w:val="26534062"/>
    <w:rsid w:val="271909E7"/>
    <w:rsid w:val="2771366C"/>
    <w:rsid w:val="27AA3F19"/>
    <w:rsid w:val="27B75F40"/>
    <w:rsid w:val="27BF0922"/>
    <w:rsid w:val="27C93795"/>
    <w:rsid w:val="27DF287A"/>
    <w:rsid w:val="28880BBD"/>
    <w:rsid w:val="28E214C9"/>
    <w:rsid w:val="292C7AD3"/>
    <w:rsid w:val="297B192A"/>
    <w:rsid w:val="29857B47"/>
    <w:rsid w:val="29CA4C35"/>
    <w:rsid w:val="29CF5920"/>
    <w:rsid w:val="29FB746D"/>
    <w:rsid w:val="2A2F027D"/>
    <w:rsid w:val="2A567EE4"/>
    <w:rsid w:val="2BC12875"/>
    <w:rsid w:val="2BDF104D"/>
    <w:rsid w:val="2BE52138"/>
    <w:rsid w:val="2BF303F3"/>
    <w:rsid w:val="2C042268"/>
    <w:rsid w:val="2C0F7A2B"/>
    <w:rsid w:val="2C5F5575"/>
    <w:rsid w:val="2CE15C67"/>
    <w:rsid w:val="2CED1A99"/>
    <w:rsid w:val="2DA524E1"/>
    <w:rsid w:val="2DAC2331"/>
    <w:rsid w:val="2DAD1B11"/>
    <w:rsid w:val="2DD12E18"/>
    <w:rsid w:val="2E073A32"/>
    <w:rsid w:val="2E642CD1"/>
    <w:rsid w:val="2ED959B6"/>
    <w:rsid w:val="2F1530DB"/>
    <w:rsid w:val="2F87463D"/>
    <w:rsid w:val="302C4855"/>
    <w:rsid w:val="30DF00B9"/>
    <w:rsid w:val="30EE7278"/>
    <w:rsid w:val="31475B3B"/>
    <w:rsid w:val="3164480A"/>
    <w:rsid w:val="3175685D"/>
    <w:rsid w:val="31774A4C"/>
    <w:rsid w:val="31B61F93"/>
    <w:rsid w:val="31E1150F"/>
    <w:rsid w:val="32063F82"/>
    <w:rsid w:val="322E1A71"/>
    <w:rsid w:val="32FC74ED"/>
    <w:rsid w:val="33414962"/>
    <w:rsid w:val="33A83146"/>
    <w:rsid w:val="33BD425B"/>
    <w:rsid w:val="3406744F"/>
    <w:rsid w:val="343F5A62"/>
    <w:rsid w:val="34540A72"/>
    <w:rsid w:val="34AF191E"/>
    <w:rsid w:val="35431B6D"/>
    <w:rsid w:val="35612C02"/>
    <w:rsid w:val="35F87F3A"/>
    <w:rsid w:val="360B5D7C"/>
    <w:rsid w:val="36380205"/>
    <w:rsid w:val="366D2DC4"/>
    <w:rsid w:val="36A23D94"/>
    <w:rsid w:val="3701322D"/>
    <w:rsid w:val="377E6D7E"/>
    <w:rsid w:val="37AF7F80"/>
    <w:rsid w:val="37CD60F4"/>
    <w:rsid w:val="38452E79"/>
    <w:rsid w:val="3902632F"/>
    <w:rsid w:val="396D0EDD"/>
    <w:rsid w:val="39746765"/>
    <w:rsid w:val="39957E65"/>
    <w:rsid w:val="39BA532F"/>
    <w:rsid w:val="39C3402A"/>
    <w:rsid w:val="39C851B2"/>
    <w:rsid w:val="3A027ADD"/>
    <w:rsid w:val="3A707CF3"/>
    <w:rsid w:val="3AB336CE"/>
    <w:rsid w:val="3B4D4C41"/>
    <w:rsid w:val="3B653C99"/>
    <w:rsid w:val="3B7D36DC"/>
    <w:rsid w:val="3B807047"/>
    <w:rsid w:val="3C2D7031"/>
    <w:rsid w:val="3C366EFC"/>
    <w:rsid w:val="3C5E002E"/>
    <w:rsid w:val="3CD27AA2"/>
    <w:rsid w:val="3CFB3601"/>
    <w:rsid w:val="3D2C23E4"/>
    <w:rsid w:val="3D595FF5"/>
    <w:rsid w:val="3D7B47E5"/>
    <w:rsid w:val="3D8B05AE"/>
    <w:rsid w:val="3D9576A0"/>
    <w:rsid w:val="3D9B6B8B"/>
    <w:rsid w:val="3E24366B"/>
    <w:rsid w:val="3E434ADA"/>
    <w:rsid w:val="3ED009AC"/>
    <w:rsid w:val="3ED009F5"/>
    <w:rsid w:val="3F0D7CDD"/>
    <w:rsid w:val="3F42207A"/>
    <w:rsid w:val="3F4803E7"/>
    <w:rsid w:val="3F7159AE"/>
    <w:rsid w:val="3FE9568A"/>
    <w:rsid w:val="4024247A"/>
    <w:rsid w:val="40337E3E"/>
    <w:rsid w:val="407F7EA4"/>
    <w:rsid w:val="409D1622"/>
    <w:rsid w:val="40BA4FBB"/>
    <w:rsid w:val="41546156"/>
    <w:rsid w:val="41735E90"/>
    <w:rsid w:val="41B44A84"/>
    <w:rsid w:val="41D84ABF"/>
    <w:rsid w:val="42D726B4"/>
    <w:rsid w:val="430F12A4"/>
    <w:rsid w:val="436C652A"/>
    <w:rsid w:val="43802519"/>
    <w:rsid w:val="445739F1"/>
    <w:rsid w:val="44883A2A"/>
    <w:rsid w:val="44B60A26"/>
    <w:rsid w:val="44DD1E08"/>
    <w:rsid w:val="44E7475E"/>
    <w:rsid w:val="451F1C26"/>
    <w:rsid w:val="45A40385"/>
    <w:rsid w:val="45B617DD"/>
    <w:rsid w:val="45CC6C82"/>
    <w:rsid w:val="45E675E4"/>
    <w:rsid w:val="45F119C0"/>
    <w:rsid w:val="45F204FE"/>
    <w:rsid w:val="45FB5214"/>
    <w:rsid w:val="46147588"/>
    <w:rsid w:val="46317B15"/>
    <w:rsid w:val="463929A9"/>
    <w:rsid w:val="46832E52"/>
    <w:rsid w:val="46C81C71"/>
    <w:rsid w:val="477936A8"/>
    <w:rsid w:val="48183710"/>
    <w:rsid w:val="482F185E"/>
    <w:rsid w:val="485465BF"/>
    <w:rsid w:val="487C051A"/>
    <w:rsid w:val="48E82FB8"/>
    <w:rsid w:val="48E85283"/>
    <w:rsid w:val="492A3DD2"/>
    <w:rsid w:val="49612E0B"/>
    <w:rsid w:val="49736BBC"/>
    <w:rsid w:val="498027E1"/>
    <w:rsid w:val="498B5ACC"/>
    <w:rsid w:val="49996DDE"/>
    <w:rsid w:val="499F6906"/>
    <w:rsid w:val="4ABD2820"/>
    <w:rsid w:val="4B065E2E"/>
    <w:rsid w:val="4B497D60"/>
    <w:rsid w:val="4B8242C7"/>
    <w:rsid w:val="4BC131D0"/>
    <w:rsid w:val="4BDF544F"/>
    <w:rsid w:val="4C690F51"/>
    <w:rsid w:val="4CE65ADB"/>
    <w:rsid w:val="4CF8695E"/>
    <w:rsid w:val="4D1B0588"/>
    <w:rsid w:val="4D840CC9"/>
    <w:rsid w:val="4E625AC7"/>
    <w:rsid w:val="4E875C30"/>
    <w:rsid w:val="4ECE6B96"/>
    <w:rsid w:val="4EE10224"/>
    <w:rsid w:val="4EE16F7C"/>
    <w:rsid w:val="4EFC569E"/>
    <w:rsid w:val="4F224A3F"/>
    <w:rsid w:val="4F7207FA"/>
    <w:rsid w:val="4FC3653A"/>
    <w:rsid w:val="4FED6417"/>
    <w:rsid w:val="501F3EC0"/>
    <w:rsid w:val="5032595E"/>
    <w:rsid w:val="510806FF"/>
    <w:rsid w:val="514A62F0"/>
    <w:rsid w:val="514D48CD"/>
    <w:rsid w:val="516E49FC"/>
    <w:rsid w:val="516F5D1F"/>
    <w:rsid w:val="51DF4E15"/>
    <w:rsid w:val="521C4028"/>
    <w:rsid w:val="52203609"/>
    <w:rsid w:val="522A6668"/>
    <w:rsid w:val="524B76AA"/>
    <w:rsid w:val="527C2D80"/>
    <w:rsid w:val="53381F60"/>
    <w:rsid w:val="535D391A"/>
    <w:rsid w:val="545C6344"/>
    <w:rsid w:val="54627A6B"/>
    <w:rsid w:val="547A4D40"/>
    <w:rsid w:val="5495685F"/>
    <w:rsid w:val="5549024F"/>
    <w:rsid w:val="55560FA6"/>
    <w:rsid w:val="557114A1"/>
    <w:rsid w:val="55DD0E0B"/>
    <w:rsid w:val="561429AF"/>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5511E"/>
    <w:rsid w:val="59C60025"/>
    <w:rsid w:val="59D170CC"/>
    <w:rsid w:val="5AE56E05"/>
    <w:rsid w:val="5AF44059"/>
    <w:rsid w:val="5B505B14"/>
    <w:rsid w:val="5C0B76F4"/>
    <w:rsid w:val="5C1A1972"/>
    <w:rsid w:val="5C4001B2"/>
    <w:rsid w:val="5C862DCF"/>
    <w:rsid w:val="5CCA2891"/>
    <w:rsid w:val="5CF40457"/>
    <w:rsid w:val="5D235606"/>
    <w:rsid w:val="5D266BDE"/>
    <w:rsid w:val="5DE47BB3"/>
    <w:rsid w:val="5DF55821"/>
    <w:rsid w:val="5E12599A"/>
    <w:rsid w:val="5E3916A7"/>
    <w:rsid w:val="5E47289F"/>
    <w:rsid w:val="5E5F7015"/>
    <w:rsid w:val="5E737F35"/>
    <w:rsid w:val="5F49403C"/>
    <w:rsid w:val="5F512C32"/>
    <w:rsid w:val="5FB61304"/>
    <w:rsid w:val="5FD66254"/>
    <w:rsid w:val="6004416C"/>
    <w:rsid w:val="60600505"/>
    <w:rsid w:val="60681418"/>
    <w:rsid w:val="60F23852"/>
    <w:rsid w:val="60FB4FE3"/>
    <w:rsid w:val="6120776E"/>
    <w:rsid w:val="619D69A8"/>
    <w:rsid w:val="61DB10D5"/>
    <w:rsid w:val="61F21A36"/>
    <w:rsid w:val="62D71918"/>
    <w:rsid w:val="62ED6404"/>
    <w:rsid w:val="6357635B"/>
    <w:rsid w:val="64303DA9"/>
    <w:rsid w:val="6432711E"/>
    <w:rsid w:val="644B55D5"/>
    <w:rsid w:val="645573A1"/>
    <w:rsid w:val="64A41797"/>
    <w:rsid w:val="64C5205A"/>
    <w:rsid w:val="64E2669D"/>
    <w:rsid w:val="64FF5377"/>
    <w:rsid w:val="65974BC9"/>
    <w:rsid w:val="659C69F6"/>
    <w:rsid w:val="65B45D8A"/>
    <w:rsid w:val="65C02815"/>
    <w:rsid w:val="663D4804"/>
    <w:rsid w:val="663E4B42"/>
    <w:rsid w:val="6668068C"/>
    <w:rsid w:val="666E718E"/>
    <w:rsid w:val="667A2B1C"/>
    <w:rsid w:val="669C16D0"/>
    <w:rsid w:val="66E533A8"/>
    <w:rsid w:val="66E62177"/>
    <w:rsid w:val="6756488B"/>
    <w:rsid w:val="6763650B"/>
    <w:rsid w:val="67654452"/>
    <w:rsid w:val="67711E69"/>
    <w:rsid w:val="679558FF"/>
    <w:rsid w:val="67E0607D"/>
    <w:rsid w:val="67F73FB9"/>
    <w:rsid w:val="680C2DFF"/>
    <w:rsid w:val="6871545D"/>
    <w:rsid w:val="68F04D32"/>
    <w:rsid w:val="69A07720"/>
    <w:rsid w:val="69B96EB2"/>
    <w:rsid w:val="69F906B4"/>
    <w:rsid w:val="6ABF2BC1"/>
    <w:rsid w:val="6ADD27C7"/>
    <w:rsid w:val="6B335DB8"/>
    <w:rsid w:val="6C327F9E"/>
    <w:rsid w:val="6C3E32CD"/>
    <w:rsid w:val="6C58153A"/>
    <w:rsid w:val="6C775A95"/>
    <w:rsid w:val="6CCC4925"/>
    <w:rsid w:val="6CE048F1"/>
    <w:rsid w:val="6D242768"/>
    <w:rsid w:val="6E4D5FAD"/>
    <w:rsid w:val="6EA82A14"/>
    <w:rsid w:val="6F8D4233"/>
    <w:rsid w:val="6F8F4787"/>
    <w:rsid w:val="6FCF0BC9"/>
    <w:rsid w:val="6FD93FFF"/>
    <w:rsid w:val="700542AC"/>
    <w:rsid w:val="70470FC4"/>
    <w:rsid w:val="705A7815"/>
    <w:rsid w:val="70AE598C"/>
    <w:rsid w:val="71006660"/>
    <w:rsid w:val="711F706B"/>
    <w:rsid w:val="71514C7D"/>
    <w:rsid w:val="717B7311"/>
    <w:rsid w:val="72313BEB"/>
    <w:rsid w:val="72784F29"/>
    <w:rsid w:val="729C170B"/>
    <w:rsid w:val="72B810DA"/>
    <w:rsid w:val="72CA408F"/>
    <w:rsid w:val="72E77EC9"/>
    <w:rsid w:val="72E87AAC"/>
    <w:rsid w:val="731449C2"/>
    <w:rsid w:val="731B79C0"/>
    <w:rsid w:val="73C747F5"/>
    <w:rsid w:val="73E16F0A"/>
    <w:rsid w:val="7455718B"/>
    <w:rsid w:val="757540F8"/>
    <w:rsid w:val="75B862DC"/>
    <w:rsid w:val="75D1083E"/>
    <w:rsid w:val="75EF1748"/>
    <w:rsid w:val="76361480"/>
    <w:rsid w:val="766A4AC8"/>
    <w:rsid w:val="76800D33"/>
    <w:rsid w:val="768E4560"/>
    <w:rsid w:val="76B33869"/>
    <w:rsid w:val="76BC03FB"/>
    <w:rsid w:val="76BD3ADF"/>
    <w:rsid w:val="770F2826"/>
    <w:rsid w:val="77A63DA0"/>
    <w:rsid w:val="77D83949"/>
    <w:rsid w:val="780B4C8D"/>
    <w:rsid w:val="78A85B36"/>
    <w:rsid w:val="792B1445"/>
    <w:rsid w:val="79950D5B"/>
    <w:rsid w:val="79D020DA"/>
    <w:rsid w:val="79D70B93"/>
    <w:rsid w:val="79E977E8"/>
    <w:rsid w:val="7A2D6C80"/>
    <w:rsid w:val="7A3413A4"/>
    <w:rsid w:val="7A5417AD"/>
    <w:rsid w:val="7A792170"/>
    <w:rsid w:val="7ADF58D4"/>
    <w:rsid w:val="7B1272C3"/>
    <w:rsid w:val="7B24520C"/>
    <w:rsid w:val="7B2725BA"/>
    <w:rsid w:val="7B354998"/>
    <w:rsid w:val="7C2D6226"/>
    <w:rsid w:val="7C2E4D8F"/>
    <w:rsid w:val="7C326A89"/>
    <w:rsid w:val="7C6939A2"/>
    <w:rsid w:val="7C9532D9"/>
    <w:rsid w:val="7D1A0CD2"/>
    <w:rsid w:val="7D5F2464"/>
    <w:rsid w:val="7D632868"/>
    <w:rsid w:val="7D94263A"/>
    <w:rsid w:val="7DC1580F"/>
    <w:rsid w:val="7E397F87"/>
    <w:rsid w:val="7E5D3C72"/>
    <w:rsid w:val="7E6459CD"/>
    <w:rsid w:val="7E7520DE"/>
    <w:rsid w:val="7EE02492"/>
    <w:rsid w:val="7EED1DD0"/>
    <w:rsid w:val="7F532BC8"/>
    <w:rsid w:val="7F5E189F"/>
    <w:rsid w:val="7FA354E0"/>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Balloon Text"/>
    <w:basedOn w:val="1"/>
    <w:link w:val="14"/>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9">
    <w:name w:val="toc 1"/>
    <w:basedOn w:val="1"/>
    <w:next w:val="1"/>
    <w:qFormat/>
    <w:uiPriority w:val="99"/>
    <w:rPr>
      <w:rFonts w:ascii="Calibri" w:hAnsi="Calibri"/>
      <w:b/>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6"/>
    <w:semiHidden/>
    <w:qFormat/>
    <w:locked/>
    <w:uiPriority w:val="99"/>
    <w:rPr>
      <w:rFonts w:ascii="Times New Roman" w:hAnsi="Times New Roman"/>
      <w:kern w:val="2"/>
      <w:sz w:val="18"/>
    </w:rPr>
  </w:style>
  <w:style w:type="character" w:customStyle="1" w:styleId="15">
    <w:name w:val="页脚 Char"/>
    <w:basedOn w:val="13"/>
    <w:link w:val="7"/>
    <w:qFormat/>
    <w:locked/>
    <w:uiPriority w:val="99"/>
    <w:rPr>
      <w:sz w:val="18"/>
    </w:rPr>
  </w:style>
  <w:style w:type="character" w:customStyle="1" w:styleId="16">
    <w:name w:val="页眉 Char"/>
    <w:basedOn w:val="13"/>
    <w:link w:val="8"/>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F6DD2-16E4-42AD-A3EB-88371CDEA4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1770</Words>
  <Characters>10089</Characters>
  <Lines>84</Lines>
  <Paragraphs>23</Paragraphs>
  <TotalTime>21</TotalTime>
  <ScaleCrop>false</ScaleCrop>
  <LinksUpToDate>false</LinksUpToDate>
  <CharactersWithSpaces>11836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2021-07-21T02:40:00Z</cp:lastPrinted>
  <dcterms:modified xsi:type="dcterms:W3CDTF">2021-07-21T02:45:39Z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A6BC41C770F64144A8880F108CA296DA</vt:lpwstr>
  </property>
</Properties>
</file>