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施工部分（第二次）</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2021002</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重庆市快件集散中心（一期）A区出入口管控项目</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施工部分（第二次）</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重庆市快件集散中心（一期）A区出入口管控项目施工部分（第二次）</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3营业执照副本复印件盖鲜章，营业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1.1.4公司具有安防工程从业资质</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w:t>
      </w:r>
      <w:r>
        <w:rPr>
          <w:rFonts w:hint="eastAsia" w:ascii="仿宋" w:hAnsi="仿宋" w:eastAsia="仿宋"/>
          <w:sz w:val="28"/>
          <w:szCs w:val="28"/>
          <w:highlight w:val="none"/>
          <w:lang w:val="en-US" w:eastAsia="zh-CN"/>
        </w:rPr>
        <w:t>或电子与智能建筑专业承包二级以上（含二级）</w:t>
      </w:r>
      <w:r>
        <w:rPr>
          <w:rFonts w:hint="eastAsia" w:ascii="仿宋" w:hAnsi="仿宋" w:eastAsia="仿宋"/>
          <w:sz w:val="28"/>
          <w:szCs w:val="28"/>
          <w:highlight w:val="none"/>
        </w:rPr>
        <w:t>证书；</w:t>
      </w:r>
    </w:p>
    <w:p>
      <w:pPr>
        <w:widowControl/>
        <w:spacing w:line="360" w:lineRule="auto"/>
        <w:ind w:firstLine="570"/>
        <w:rPr>
          <w:highlight w:val="none"/>
        </w:rPr>
      </w:pPr>
      <w:r>
        <w:rPr>
          <w:rFonts w:hint="eastAsia" w:ascii="仿宋" w:hAnsi="仿宋" w:eastAsia="仿宋"/>
          <w:sz w:val="28"/>
          <w:szCs w:val="28"/>
          <w:highlight w:val="none"/>
        </w:rPr>
        <w:t>1.1.5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重庆市快件集散中心一期（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w:t>
      </w:r>
      <w:r>
        <w:rPr>
          <w:rFonts w:hint="eastAsia" w:ascii="仿宋" w:hAnsi="仿宋" w:eastAsia="仿宋"/>
          <w:sz w:val="28"/>
          <w:szCs w:val="28"/>
          <w:highlight w:val="none"/>
        </w:rPr>
        <w:t>增设</w:t>
      </w:r>
      <w:r>
        <w:rPr>
          <w:rFonts w:hint="eastAsia" w:ascii="仿宋" w:hAnsi="仿宋" w:eastAsia="仿宋"/>
          <w:sz w:val="28"/>
          <w:szCs w:val="28"/>
          <w:highlight w:val="none"/>
          <w:lang w:eastAsia="zh-CN"/>
        </w:rPr>
        <w:t>人脸识别</w:t>
      </w:r>
      <w:r>
        <w:rPr>
          <w:rFonts w:hint="eastAsia" w:ascii="仿宋" w:hAnsi="仿宋" w:eastAsia="仿宋"/>
          <w:sz w:val="28"/>
          <w:szCs w:val="28"/>
          <w:highlight w:val="none"/>
        </w:rPr>
        <w:t>系统，</w:t>
      </w:r>
      <w:r>
        <w:rPr>
          <w:rFonts w:hint="eastAsia" w:ascii="仿宋" w:hAnsi="仿宋" w:eastAsia="仿宋"/>
          <w:sz w:val="28"/>
          <w:szCs w:val="28"/>
          <w:highlight w:val="none"/>
          <w:lang w:eastAsia="zh-CN"/>
        </w:rPr>
        <w:t>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在快件集散中心</w:t>
      </w:r>
      <w:r>
        <w:rPr>
          <w:rFonts w:hint="eastAsia" w:ascii="仿宋" w:hAnsi="仿宋" w:eastAsia="仿宋"/>
          <w:color w:val="FF0000"/>
          <w:sz w:val="28"/>
          <w:szCs w:val="28"/>
          <w:highlight w:val="none"/>
        </w:rPr>
        <w:t>内施工，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壹拾玖万元</w:t>
      </w:r>
      <w:r>
        <w:rPr>
          <w:rFonts w:hint="eastAsia" w:ascii="仿宋" w:hAnsi="仿宋" w:eastAsia="仿宋"/>
          <w:color w:val="auto"/>
          <w:sz w:val="28"/>
          <w:szCs w:val="28"/>
          <w:highlight w:val="none"/>
        </w:rPr>
        <w:t>整）报价高于最高限价，将取消比选响应方的比选资格</w:t>
      </w:r>
      <w:r>
        <w:rPr>
          <w:rFonts w:hint="eastAsia" w:ascii="仿宋" w:hAnsi="仿宋" w:eastAsia="仿宋"/>
          <w:b/>
          <w:color w:val="auto"/>
          <w:sz w:val="28"/>
          <w:szCs w:val="28"/>
          <w:highlight w:val="none"/>
        </w:rPr>
        <w:t>（注：单价</w:t>
      </w:r>
      <w:r>
        <w:rPr>
          <w:rFonts w:hint="eastAsia" w:ascii="仿宋" w:hAnsi="仿宋" w:eastAsia="仿宋" w:cs="仿宋"/>
          <w:b/>
          <w:color w:val="auto"/>
          <w:sz w:val="28"/>
          <w:szCs w:val="28"/>
          <w:highlight w:val="none"/>
          <w:lang w:val="zh-CN"/>
        </w:rPr>
        <w:t>报价不能超过所列出的单价控制价，且总报价不得超过最高限价</w:t>
      </w:r>
      <w:r>
        <w:rPr>
          <w:rFonts w:hint="eastAsia" w:ascii="仿宋" w:hAnsi="仿宋" w:eastAsia="仿宋"/>
          <w:b/>
          <w:color w:val="auto"/>
          <w:sz w:val="28"/>
          <w:szCs w:val="28"/>
          <w:highlight w:val="none"/>
        </w:rPr>
        <w:t>）</w:t>
      </w:r>
      <w:r>
        <w:rPr>
          <w:rFonts w:hint="eastAsia" w:ascii="仿宋" w:hAnsi="仿宋" w:eastAsia="仿宋"/>
          <w:color w:val="auto"/>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pStyle w:val="2"/>
        <w:ind w:firstLine="560" w:firstLineChars="200"/>
        <w:rPr>
          <w:rFonts w:ascii="仿宋" w:hAnsi="仿宋"/>
          <w:b w:val="0"/>
          <w:bCs w:val="0"/>
          <w:szCs w:val="28"/>
          <w:highlight w:val="none"/>
        </w:rPr>
      </w:pPr>
      <w:r>
        <w:rPr>
          <w:rFonts w:hint="eastAsia" w:ascii="仿宋" w:hAnsi="仿宋"/>
          <w:b w:val="0"/>
          <w:bCs w:val="0"/>
          <w:szCs w:val="28"/>
          <w:highlight w:val="none"/>
        </w:rPr>
        <w:t>2.1有效营业执照（须提供营业执照复印件加盖鲜章）；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2.2公司具有安防工程从业资质二级以上（含二级）证书或电子与智能化工程专业承包贰级以上（含二级）；</w:t>
      </w:r>
    </w:p>
    <w:p>
      <w:pPr>
        <w:widowControl/>
        <w:spacing w:line="360" w:lineRule="auto"/>
        <w:ind w:firstLine="570"/>
        <w:rPr>
          <w:highlight w:val="none"/>
        </w:rPr>
      </w:pPr>
      <w:r>
        <w:rPr>
          <w:rFonts w:hint="eastAsia" w:ascii="仿宋" w:hAnsi="仿宋" w:eastAsia="仿宋"/>
          <w:sz w:val="28"/>
          <w:szCs w:val="28"/>
          <w:highlight w:val="none"/>
        </w:rPr>
        <w:t>2.3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2.6被授权人身份证复印件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2.7不转包、分包承诺函。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16</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spacing w:line="480" w:lineRule="auto"/>
        <w:ind w:firstLine="560" w:firstLineChars="200"/>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90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；公司具有安防工程从业</w:t>
      </w:r>
      <w:r>
        <w:rPr>
          <w:rFonts w:ascii="仿宋" w:hAnsi="仿宋" w:eastAsia="仿宋"/>
          <w:sz w:val="28"/>
          <w:szCs w:val="28"/>
          <w:highlight w:val="none"/>
        </w:rPr>
        <w:t>资质</w:t>
      </w:r>
      <w:r>
        <w:rPr>
          <w:rFonts w:hint="eastAsia" w:ascii="仿宋" w:hAnsi="仿宋" w:eastAsia="仿宋"/>
          <w:sz w:val="28"/>
          <w:szCs w:val="28"/>
          <w:highlight w:val="none"/>
        </w:rPr>
        <w:t>二级以上</w:t>
      </w:r>
      <w:r>
        <w:rPr>
          <w:rFonts w:ascii="仿宋" w:hAnsi="仿宋" w:eastAsia="仿宋"/>
          <w:sz w:val="28"/>
          <w:szCs w:val="28"/>
          <w:highlight w:val="none"/>
        </w:rPr>
        <w:t>（</w:t>
      </w:r>
      <w:r>
        <w:rPr>
          <w:rFonts w:hint="eastAsia" w:ascii="仿宋" w:hAnsi="仿宋" w:eastAsia="仿宋"/>
          <w:sz w:val="28"/>
          <w:szCs w:val="28"/>
          <w:highlight w:val="none"/>
        </w:rPr>
        <w:t>含二</w:t>
      </w:r>
      <w:r>
        <w:rPr>
          <w:rFonts w:ascii="仿宋" w:hAnsi="仿宋" w:eastAsia="仿宋"/>
          <w:sz w:val="28"/>
          <w:szCs w:val="28"/>
          <w:highlight w:val="none"/>
        </w:rPr>
        <w:t>级）</w:t>
      </w:r>
      <w:r>
        <w:rPr>
          <w:rFonts w:hint="eastAsia" w:ascii="仿宋" w:hAnsi="仿宋" w:eastAsia="仿宋"/>
          <w:sz w:val="28"/>
          <w:szCs w:val="28"/>
          <w:highlight w:val="none"/>
        </w:rPr>
        <w:t>或电子与智能化工程专业承包</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级）；通过“国家企业信用信息公示系统”网站（www.gsxt.gov.cn/）查询，“中国政府采购网”网站（www.ccgp.gov.cn）查询的信用</w:t>
      </w:r>
      <w:r>
        <w:rPr>
          <w:rFonts w:ascii="仿宋" w:hAnsi="仿宋" w:eastAsia="仿宋"/>
          <w:sz w:val="28"/>
          <w:szCs w:val="28"/>
          <w:highlight w:val="none"/>
        </w:rPr>
        <w:t>记录</w:t>
      </w:r>
      <w:r>
        <w:rPr>
          <w:rFonts w:hint="eastAsia" w:ascii="仿宋" w:hAnsi="仿宋" w:eastAsia="仿宋"/>
          <w:sz w:val="28"/>
          <w:szCs w:val="28"/>
          <w:highlight w:val="none"/>
        </w:rPr>
        <w:t>；不转包、分包承诺函以及服务承诺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w:t>
      </w:r>
      <w:bookmarkStart w:id="56" w:name="_GoBack"/>
      <w:bookmarkEnd w:id="56"/>
      <w:r>
        <w:rPr>
          <w:rFonts w:hint="eastAsia" w:ascii="仿宋" w:hAnsi="仿宋" w:eastAsia="仿宋"/>
          <w:b/>
          <w:bCs/>
          <w:sz w:val="28"/>
          <w:szCs w:val="28"/>
          <w:highlight w:val="none"/>
        </w:rPr>
        <w:t>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rFonts w:ascii="仿宋" w:hAnsi="仿宋" w:eastAsia="仿宋"/>
          <w:b/>
          <w:bCs/>
          <w:sz w:val="32"/>
          <w:szCs w:val="32"/>
          <w:highlight w:val="none"/>
        </w:rPr>
      </w:pPr>
    </w:p>
    <w:p>
      <w:pPr>
        <w:rPr>
          <w:rFonts w:ascii="仿宋" w:hAnsi="仿宋" w:eastAsia="仿宋"/>
          <w:b/>
          <w:bCs/>
          <w:sz w:val="32"/>
          <w:szCs w:val="32"/>
          <w:highlight w:val="none"/>
        </w:rPr>
      </w:pPr>
    </w:p>
    <w:p>
      <w:pPr>
        <w:jc w:val="center"/>
        <w:rPr>
          <w:rFonts w:hint="eastAsia" w:ascii="仿宋" w:hAnsi="仿宋" w:eastAsia="仿宋"/>
          <w:b/>
          <w:sz w:val="36"/>
          <w:szCs w:val="36"/>
          <w:highlight w:val="none"/>
          <w:lang w:eastAsia="zh-CN"/>
        </w:rPr>
      </w:pPr>
    </w:p>
    <w:p>
      <w:pPr>
        <w:pStyle w:val="2"/>
        <w:rPr>
          <w:rFonts w:hint="eastAsia"/>
          <w:highlight w:val="none"/>
          <w:lang w:eastAsia="zh-CN"/>
        </w:rPr>
      </w:pPr>
    </w:p>
    <w:p>
      <w:pPr>
        <w:rPr>
          <w:rFonts w:hint="eastAsia"/>
          <w:highlight w:val="none"/>
          <w:lang w:eastAsia="zh-CN"/>
        </w:rPr>
      </w:pPr>
    </w:p>
    <w:p>
      <w:pPr>
        <w:jc w:val="both"/>
        <w:rPr>
          <w:rFonts w:hint="eastAsia" w:ascii="仿宋" w:hAnsi="仿宋" w:eastAsia="仿宋"/>
          <w:b/>
          <w:sz w:val="36"/>
          <w:szCs w:val="36"/>
          <w:highlight w:val="none"/>
          <w:lang w:eastAsia="zh-CN"/>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hint="eastAsia" w:eastAsia="仿宋"/>
          <w:highlight w:val="none"/>
          <w:lang w:eastAsia="zh-CN"/>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重庆市快件集散中心（一期）A区出入口管控项目施工部分</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重庆市快件集散中心（一期）A区出入口管控项目施工部分</w:t>
      </w:r>
    </w:p>
    <w:p>
      <w:pPr>
        <w:spacing w:line="360" w:lineRule="auto"/>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rPr>
        <w:t>重庆机场</w:t>
      </w:r>
      <w:r>
        <w:rPr>
          <w:rFonts w:hint="eastAsia" w:ascii="仿宋" w:hAnsi="仿宋" w:eastAsia="仿宋" w:cs="仿宋"/>
          <w:sz w:val="28"/>
          <w:szCs w:val="28"/>
          <w:highlight w:val="none"/>
          <w:u w:val="single"/>
          <w:lang w:eastAsia="zh-CN"/>
        </w:rPr>
        <w:t>快件集散中心</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增设</w:t>
      </w:r>
      <w:r>
        <w:rPr>
          <w:rFonts w:hint="eastAsia" w:ascii="仿宋" w:hAnsi="仿宋" w:eastAsia="仿宋" w:cs="仿宋"/>
          <w:sz w:val="28"/>
          <w:szCs w:val="28"/>
          <w:highlight w:val="none"/>
          <w:u w:val="single"/>
          <w:lang w:eastAsia="zh-CN"/>
        </w:rPr>
        <w:t>人脸识别</w:t>
      </w:r>
      <w:r>
        <w:rPr>
          <w:rFonts w:hint="eastAsia" w:ascii="仿宋" w:hAnsi="仿宋" w:eastAsia="仿宋" w:cs="仿宋"/>
          <w:sz w:val="28"/>
          <w:szCs w:val="28"/>
          <w:highlight w:val="none"/>
          <w:u w:val="single"/>
        </w:rPr>
        <w:t>系统，</w:t>
      </w:r>
      <w:r>
        <w:rPr>
          <w:rFonts w:hint="eastAsia" w:ascii="仿宋" w:hAnsi="仿宋" w:eastAsia="仿宋" w:cs="仿宋"/>
          <w:sz w:val="28"/>
          <w:szCs w:val="28"/>
          <w:highlight w:val="none"/>
          <w:u w:val="single"/>
          <w:lang w:eastAsia="zh-CN"/>
        </w:rPr>
        <w:t>增加安防管理平台，增加身份证录入系统。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w:t>
      </w:r>
      <w:r>
        <w:rPr>
          <w:rFonts w:hint="eastAsia" w:ascii="仿宋" w:hAnsi="仿宋" w:eastAsia="仿宋"/>
          <w:sz w:val="28"/>
          <w:szCs w:val="28"/>
          <w:highlight w:val="none"/>
          <w:lang w:eastAsia="zh-CN"/>
        </w:rPr>
        <w:t>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）增加人脸识别系统，增加安防管理平台，增加身份证录入系统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该工程的设备材料由甲方提供。</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rPr>
          <w:rFonts w:ascii="宋体"/>
          <w:sz w:val="28"/>
          <w:szCs w:val="28"/>
          <w:highlight w:val="none"/>
        </w:rPr>
      </w:pPr>
      <w:r>
        <w:rPr>
          <w:rFonts w:hint="eastAsia" w:ascii="宋体" w:hAnsi="宋体" w:cs="宋体"/>
          <w:sz w:val="28"/>
          <w:szCs w:val="28"/>
          <w:highlight w:val="none"/>
        </w:rPr>
        <w:t>八、</w:t>
      </w:r>
      <w:r>
        <w:rPr>
          <w:rFonts w:hint="eastAsia" w:ascii="宋体" w:hAnsi="宋体"/>
          <w:sz w:val="28"/>
          <w:szCs w:val="28"/>
          <w:highlight w:val="none"/>
        </w:rPr>
        <w:t>工程变更</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0" w:name="_Toc10984"/>
      <w:bookmarkStart w:id="1" w:name="_Toc296347193"/>
      <w:bookmarkStart w:id="2" w:name="_Toc304295567"/>
      <w:bookmarkStart w:id="3" w:name="_Toc297216200"/>
      <w:bookmarkStart w:id="4" w:name="_Toc292559904"/>
      <w:bookmarkStart w:id="5" w:name="_Toc296891022"/>
      <w:bookmarkStart w:id="6" w:name="_Toc300934990"/>
      <w:bookmarkStart w:id="7" w:name="_Toc296503194"/>
      <w:bookmarkStart w:id="8" w:name="_Toc297123541"/>
      <w:bookmarkStart w:id="9" w:name="_Toc296944533"/>
      <w:bookmarkStart w:id="10" w:name="_Toc292559399"/>
      <w:bookmarkStart w:id="11" w:name="_Toc297048380"/>
      <w:bookmarkStart w:id="12" w:name="_Toc297120494"/>
      <w:bookmarkStart w:id="13" w:name="_Toc312677500"/>
      <w:bookmarkStart w:id="14" w:name="_Toc312678026"/>
      <w:bookmarkStart w:id="15" w:name="_Toc296346695"/>
      <w:bookmarkStart w:id="16" w:name="_Toc296891234"/>
      <w:bookmarkStart w:id="17" w:name="_Toc303539147"/>
      <w:r>
        <w:rPr>
          <w:rFonts w:hint="eastAsia" w:ascii="仿宋" w:hAnsi="仿宋" w:eastAsia="仿宋" w:cs="仿宋"/>
          <w:color w:val="000000" w:themeColor="text1"/>
          <w:sz w:val="28"/>
          <w:szCs w:val="28"/>
          <w:highlight w:val="none"/>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8" w:name="_Toc14948"/>
      <w:r>
        <w:rPr>
          <w:rFonts w:hint="eastAsia" w:ascii="仿宋" w:hAnsi="仿宋" w:eastAsia="仿宋" w:cs="仿宋"/>
          <w:color w:val="000000" w:themeColor="text1"/>
          <w:sz w:val="28"/>
          <w:szCs w:val="28"/>
          <w:highlight w:val="none"/>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5）投标时乙方所报的材料价中没有的材料价格按照施工时间的《重庆工程造价信息》公布的信息价执行；如果202</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9" w:name="_Toc23861"/>
      <w:bookmarkStart w:id="20" w:name="_Toc296346704"/>
      <w:bookmarkStart w:id="21" w:name="_Toc303539151"/>
      <w:bookmarkStart w:id="22" w:name="_Toc297120503"/>
      <w:bookmarkStart w:id="23" w:name="_Toc304295570"/>
      <w:bookmarkStart w:id="24" w:name="_Toc297123545"/>
      <w:bookmarkStart w:id="25" w:name="_Toc296891243"/>
      <w:bookmarkStart w:id="26" w:name="_Toc297048389"/>
      <w:bookmarkStart w:id="27" w:name="_Toc296503203"/>
      <w:bookmarkStart w:id="28" w:name="_Toc300934994"/>
      <w:bookmarkStart w:id="29" w:name="_Toc296944542"/>
      <w:bookmarkStart w:id="30" w:name="_Toc296347202"/>
      <w:bookmarkStart w:id="31" w:name="_Toc297216204"/>
      <w:bookmarkStart w:id="32" w:name="_Toc296891031"/>
      <w:bookmarkStart w:id="33" w:name="_Toc292559913"/>
      <w:bookmarkStart w:id="34" w:name="_Toc312678029"/>
      <w:bookmarkStart w:id="35" w:name="_Toc312677503"/>
      <w:bookmarkStart w:id="36" w:name="_Toc292559408"/>
      <w:r>
        <w:rPr>
          <w:rFonts w:hint="eastAsia" w:ascii="仿宋" w:hAnsi="仿宋" w:eastAsia="仿宋" w:cs="仿宋"/>
          <w:color w:val="000000" w:themeColor="text1"/>
          <w:sz w:val="28"/>
          <w:szCs w:val="28"/>
          <w:highlight w:val="none"/>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highlight w:val="none"/>
        </w:rPr>
      </w:pPr>
      <w:bookmarkStart w:id="37" w:name="_Toc296891032"/>
      <w:bookmarkStart w:id="38" w:name="_Toc297123546"/>
      <w:bookmarkStart w:id="39" w:name="_Toc300934995"/>
      <w:bookmarkStart w:id="40" w:name="_Toc297216205"/>
      <w:bookmarkStart w:id="41" w:name="_Toc297048390"/>
      <w:bookmarkStart w:id="42" w:name="_Toc296944543"/>
      <w:bookmarkStart w:id="43" w:name="_Toc318581175"/>
      <w:bookmarkStart w:id="44" w:name="_Toc297120504"/>
      <w:bookmarkStart w:id="45" w:name="_Toc304295571"/>
      <w:bookmarkStart w:id="46" w:name="_Toc296346705"/>
      <w:bookmarkStart w:id="47" w:name="_Toc303539152"/>
      <w:bookmarkStart w:id="48" w:name="_Toc296503204"/>
      <w:bookmarkStart w:id="49" w:name="_Toc312677504"/>
      <w:bookmarkStart w:id="50" w:name="_Toc296891244"/>
      <w:bookmarkStart w:id="51" w:name="_Toc296347203"/>
      <w:bookmarkStart w:id="52" w:name="_Toc292559409"/>
      <w:bookmarkStart w:id="53" w:name="_Toc292559914"/>
      <w:bookmarkStart w:id="54" w:name="_Toc312678030"/>
      <w:r>
        <w:rPr>
          <w:rFonts w:hint="eastAsia" w:ascii="仿宋" w:hAnsi="仿宋" w:eastAsia="仿宋" w:cs="仿宋"/>
          <w:color w:val="000000" w:themeColor="text1"/>
          <w:sz w:val="28"/>
          <w:szCs w:val="28"/>
          <w:highlight w:val="none"/>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九、双方责任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rPr>
        <w:t>十、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55"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55"/>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spacing w:line="360" w:lineRule="auto"/>
        <w:jc w:val="center"/>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r>
        <w:rPr>
          <w:rFonts w:hint="eastAsia" w:ascii="仿宋" w:hAnsi="仿宋" w:eastAsia="仿宋"/>
          <w:b/>
          <w:bCs/>
          <w:sz w:val="28"/>
          <w:szCs w:val="28"/>
          <w:highlight w:val="none"/>
          <w:lang w:eastAsia="zh-CN"/>
        </w:rPr>
        <w:t>重庆市快件集散中心（一期）A区出入口管控项目施工部分</w:t>
      </w:r>
      <w:r>
        <w:rPr>
          <w:rFonts w:hint="eastAsia" w:ascii="仿宋" w:hAnsi="仿宋" w:eastAsia="仿宋"/>
          <w:b/>
          <w:bCs/>
          <w:sz w:val="28"/>
          <w:szCs w:val="28"/>
          <w:highlight w:val="none"/>
        </w:rPr>
        <w:t>清单</w:t>
      </w:r>
    </w:p>
    <w:tbl>
      <w:tblPr>
        <w:tblStyle w:val="11"/>
        <w:tblW w:w="4998" w:type="pct"/>
        <w:tblInd w:w="0" w:type="dxa"/>
        <w:shd w:val="clear" w:color="auto" w:fill="auto"/>
        <w:tblLayout w:type="autofit"/>
        <w:tblCellMar>
          <w:top w:w="0" w:type="dxa"/>
          <w:left w:w="0" w:type="dxa"/>
          <w:bottom w:w="0" w:type="dxa"/>
          <w:right w:w="0" w:type="dxa"/>
        </w:tblCellMar>
      </w:tblPr>
      <w:tblGrid>
        <w:gridCol w:w="431"/>
        <w:gridCol w:w="2132"/>
        <w:gridCol w:w="2640"/>
        <w:gridCol w:w="570"/>
        <w:gridCol w:w="773"/>
        <w:gridCol w:w="833"/>
        <w:gridCol w:w="2393"/>
      </w:tblGrid>
      <w:tr>
        <w:tblPrEx>
          <w:shd w:val="clear" w:color="auto" w:fill="auto"/>
          <w:tblCellMar>
            <w:top w:w="0" w:type="dxa"/>
            <w:left w:w="0" w:type="dxa"/>
            <w:bottom w:w="0" w:type="dxa"/>
            <w:right w:w="0" w:type="dxa"/>
          </w:tblCellMar>
        </w:tblPrEx>
        <w:trPr>
          <w:trHeight w:val="895"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序号</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材料名称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规格型号</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综合单项控制价（元）（不含税）</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长飞光缆终端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72芯ODF架（含72芯尾纤、72个耦合器）</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restart"/>
            <w:tcBorders>
              <w:top w:val="single" w:color="000000" w:sz="4" w:space="0"/>
              <w:left w:val="single" w:color="000000" w:sz="4" w:space="0"/>
              <w:bottom w:val="nil"/>
              <w:right w:val="single" w:color="000000" w:sz="4" w:space="0"/>
              <w:tl2br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44"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海康威视明眸设备支架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DS-K1Z5607-Z</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海康威视测温明眸设备开关电源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DS-K7M-AW50(国内标配）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管理软件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定制开发基于双重认证联动开闸的解决方案</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39"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希捷视频监控硬盘</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ST6000NM0115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12"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海康威视补光灯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DS-2FL1609</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华为千兆光模块</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SFP-GE-LX-SM1310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华三</w:t>
            </w:r>
            <w:r>
              <w:rPr>
                <w:rFonts w:hint="eastAsia" w:ascii="宋体" w:hAnsi="宋体" w:eastAsia="宋体" w:cs="宋体"/>
                <w:i w:val="0"/>
                <w:iCs w:val="0"/>
                <w:color w:val="000000"/>
                <w:kern w:val="0"/>
                <w:sz w:val="18"/>
                <w:szCs w:val="18"/>
                <w:highlight w:val="none"/>
                <w:u w:val="none"/>
                <w:lang w:val="en-US" w:eastAsia="zh-CN" w:bidi="ar"/>
              </w:rPr>
              <w:t>防火墙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F100-C-G3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DS-K5671-3XF/ZU</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DS-K1T671M-3XF</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海康威视身份证阅读器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DS-K1F1110-AB(国内标配)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海康威视访客一体机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DS-K5032-D</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海康威视USB摄像机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DS-2UCTV12-S</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海康威视身份证录入器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DS-K1F100-D8E(国内标配)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联想工作站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扬天M4000q</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海康威视单路通用服务器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DS-VM21S-B（310801297）</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1037"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海康威视综合安防管理平台（DS)</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人脸门禁监控模块及后台管理，包含iSecure Center-SM、iSecure Center-VMS、iSecure Center-NCG、iSecure Center-ACS、iSecure Center-Visitor5个模块</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S5720S-12TP-PWR-LI-AC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S5720-32X-EI-AC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海康威视人脸抓拍摄像机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DS-2CD7A427FWD-XZS/JM(8-32/4)</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天地伟业存储主机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TC-RS2024LE-L7R-HW-V5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91"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广州一通镀锌钢管</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DN20×1.6</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一舟六类双绞线缆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D165-X</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2.56</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一舟铜芯绝缘导线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RVV3×1.0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540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2.45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GYTA-72B1.3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5814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7.2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腾天光跳线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FC-LC 5M</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条</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光纤连接器材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145.44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视明通金属杆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114（76）×2500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根</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定制壁式支架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宇视科技摄像机接入机场监控平台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LIS-Video Manager 3.0-Cam-1</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个</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乙方负责接入相关工作</w:t>
            </w: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2、施工中其它未列入材料，均应采购市场成熟、合格产品，使用前需征求甲方同意。</w:t>
      </w:r>
    </w:p>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28C522E"/>
    <w:rsid w:val="031D02FD"/>
    <w:rsid w:val="03291F53"/>
    <w:rsid w:val="04456BAA"/>
    <w:rsid w:val="04825AE2"/>
    <w:rsid w:val="04B87E1F"/>
    <w:rsid w:val="04CC1BF4"/>
    <w:rsid w:val="052B1F8E"/>
    <w:rsid w:val="056D7425"/>
    <w:rsid w:val="05E9339C"/>
    <w:rsid w:val="06040D89"/>
    <w:rsid w:val="070B5040"/>
    <w:rsid w:val="071A20CE"/>
    <w:rsid w:val="07496C51"/>
    <w:rsid w:val="07B955D4"/>
    <w:rsid w:val="07E05361"/>
    <w:rsid w:val="08256B65"/>
    <w:rsid w:val="082836F7"/>
    <w:rsid w:val="08E81CA0"/>
    <w:rsid w:val="095F73C2"/>
    <w:rsid w:val="097825E0"/>
    <w:rsid w:val="09880968"/>
    <w:rsid w:val="09FA132D"/>
    <w:rsid w:val="0A1D4B48"/>
    <w:rsid w:val="0A1F1715"/>
    <w:rsid w:val="0A257112"/>
    <w:rsid w:val="0AB213AF"/>
    <w:rsid w:val="0ABB7899"/>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0D0CCE"/>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DA565E"/>
    <w:rsid w:val="1FEA4B9A"/>
    <w:rsid w:val="20EF3369"/>
    <w:rsid w:val="210A0042"/>
    <w:rsid w:val="212D69FF"/>
    <w:rsid w:val="226522E5"/>
    <w:rsid w:val="22701434"/>
    <w:rsid w:val="227B5781"/>
    <w:rsid w:val="233E193F"/>
    <w:rsid w:val="239467CD"/>
    <w:rsid w:val="23B812A0"/>
    <w:rsid w:val="23CB487C"/>
    <w:rsid w:val="240B5E0E"/>
    <w:rsid w:val="2436597B"/>
    <w:rsid w:val="25520481"/>
    <w:rsid w:val="25C476E1"/>
    <w:rsid w:val="25D15781"/>
    <w:rsid w:val="25DB5172"/>
    <w:rsid w:val="263368AB"/>
    <w:rsid w:val="271909E7"/>
    <w:rsid w:val="2771366C"/>
    <w:rsid w:val="27AA3F19"/>
    <w:rsid w:val="27B75F40"/>
    <w:rsid w:val="27BF0922"/>
    <w:rsid w:val="27C93795"/>
    <w:rsid w:val="28880BBD"/>
    <w:rsid w:val="28E214C9"/>
    <w:rsid w:val="28FF6902"/>
    <w:rsid w:val="297B192A"/>
    <w:rsid w:val="29857B47"/>
    <w:rsid w:val="29CA4C35"/>
    <w:rsid w:val="29CF5920"/>
    <w:rsid w:val="29FB746D"/>
    <w:rsid w:val="2A054B9B"/>
    <w:rsid w:val="2A104D2E"/>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0B5D7C"/>
    <w:rsid w:val="366D2DC4"/>
    <w:rsid w:val="36A23D94"/>
    <w:rsid w:val="36BB036B"/>
    <w:rsid w:val="3701322D"/>
    <w:rsid w:val="37AF7F80"/>
    <w:rsid w:val="37CD60F4"/>
    <w:rsid w:val="38452E79"/>
    <w:rsid w:val="3902632F"/>
    <w:rsid w:val="396D0EDD"/>
    <w:rsid w:val="39746765"/>
    <w:rsid w:val="39BA532F"/>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5E4AF4"/>
    <w:rsid w:val="3D7B47E5"/>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8242C7"/>
    <w:rsid w:val="4BC131D0"/>
    <w:rsid w:val="4BDF544F"/>
    <w:rsid w:val="4C4B7007"/>
    <w:rsid w:val="4C690F51"/>
    <w:rsid w:val="4CE65ADB"/>
    <w:rsid w:val="4CF8695E"/>
    <w:rsid w:val="4D596B9D"/>
    <w:rsid w:val="4D840CC9"/>
    <w:rsid w:val="4E875C30"/>
    <w:rsid w:val="4ECE6B96"/>
    <w:rsid w:val="4EE10224"/>
    <w:rsid w:val="4EE16F7C"/>
    <w:rsid w:val="4EFC569E"/>
    <w:rsid w:val="4F224A3F"/>
    <w:rsid w:val="4F5F206D"/>
    <w:rsid w:val="4FC3653A"/>
    <w:rsid w:val="501F3EC0"/>
    <w:rsid w:val="5032595E"/>
    <w:rsid w:val="514A62F0"/>
    <w:rsid w:val="516E49FC"/>
    <w:rsid w:val="521C4028"/>
    <w:rsid w:val="522A6668"/>
    <w:rsid w:val="524B76AA"/>
    <w:rsid w:val="53381F60"/>
    <w:rsid w:val="535D391A"/>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4974BD"/>
    <w:rsid w:val="705A7815"/>
    <w:rsid w:val="70AE598C"/>
    <w:rsid w:val="71006660"/>
    <w:rsid w:val="711F706B"/>
    <w:rsid w:val="71240025"/>
    <w:rsid w:val="71514C7D"/>
    <w:rsid w:val="717B7311"/>
    <w:rsid w:val="72313BEB"/>
    <w:rsid w:val="729C170B"/>
    <w:rsid w:val="72B810DA"/>
    <w:rsid w:val="72CA408F"/>
    <w:rsid w:val="72E77EC9"/>
    <w:rsid w:val="72E87AAC"/>
    <w:rsid w:val="731449C2"/>
    <w:rsid w:val="731B79C0"/>
    <w:rsid w:val="733C0611"/>
    <w:rsid w:val="73E16F0A"/>
    <w:rsid w:val="7455718B"/>
    <w:rsid w:val="75015591"/>
    <w:rsid w:val="757540F8"/>
    <w:rsid w:val="75B862DC"/>
    <w:rsid w:val="75D1083E"/>
    <w:rsid w:val="75EF1748"/>
    <w:rsid w:val="76361480"/>
    <w:rsid w:val="766A4AC8"/>
    <w:rsid w:val="76800D33"/>
    <w:rsid w:val="768E4560"/>
    <w:rsid w:val="76BC03FB"/>
    <w:rsid w:val="76BD3ADF"/>
    <w:rsid w:val="770F2826"/>
    <w:rsid w:val="77A63DA0"/>
    <w:rsid w:val="780B4C8D"/>
    <w:rsid w:val="785B636B"/>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25</TotalTime>
  <ScaleCrop>false</ScaleCrop>
  <LinksUpToDate>false</LinksUpToDate>
  <CharactersWithSpaces>11836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2021-04-15T06:40:40Z</cp:lastPrinted>
  <dcterms:modified xsi:type="dcterms:W3CDTF">2021-04-15T06:40:48Z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0161170398004C4983ADDE719FADFD69</vt:lpwstr>
  </property>
</Properties>
</file>