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bookmarkStart w:id="45" w:name="_GoBack"/>
      <w:bookmarkEnd w:id="45"/>
    </w:p>
    <w:p>
      <w:pPr>
        <w:jc w:val="center"/>
        <w:rPr>
          <w:rFonts w:ascii="仿宋_GB2312" w:eastAsia="仿宋_GB2312"/>
          <w:b/>
          <w:color w:val="auto"/>
          <w:sz w:val="52"/>
          <w:szCs w:val="52"/>
          <w:highlight w:val="none"/>
        </w:rPr>
      </w:pPr>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52"/>
          <w:szCs w:val="52"/>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东区热水锅炉维护保养项目</w:t>
      </w:r>
    </w:p>
    <w:p>
      <w:pPr>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w:t>
      </w:r>
      <w:r>
        <w:rPr>
          <w:rFonts w:hint="eastAsia" w:ascii="仿宋" w:hAnsi="仿宋" w:eastAsia="仿宋"/>
          <w:b/>
          <w:color w:val="auto"/>
          <w:sz w:val="44"/>
          <w:szCs w:val="44"/>
          <w:highlight w:val="none"/>
          <w:lang w:val="en-US" w:eastAsia="zh-CN"/>
        </w:rPr>
        <w:t>第一次</w:t>
      </w:r>
      <w:r>
        <w:rPr>
          <w:rFonts w:hint="eastAsia" w:ascii="仿宋" w:hAnsi="仿宋" w:eastAsia="仿宋"/>
          <w:b/>
          <w:color w:val="auto"/>
          <w:sz w:val="44"/>
          <w:szCs w:val="44"/>
          <w:highlight w:val="none"/>
          <w:lang w:eastAsia="zh-CN"/>
        </w:rPr>
        <w:t>）</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u w:val="single"/>
        </w:rPr>
      </w:pPr>
      <w:r>
        <w:rPr>
          <w:rFonts w:hint="eastAsia" w:ascii="仿宋" w:hAnsi="仿宋" w:eastAsia="仿宋"/>
          <w:b/>
          <w:color w:val="auto"/>
          <w:sz w:val="32"/>
          <w:highlight w:val="none"/>
        </w:rPr>
        <w:t>编号：</w:t>
      </w:r>
      <w:r>
        <w:rPr>
          <w:rFonts w:hint="eastAsia" w:ascii="仿宋" w:hAnsi="仿宋" w:eastAsia="仿宋"/>
          <w:b/>
          <w:color w:val="auto"/>
          <w:sz w:val="32"/>
          <w:highlight w:val="none"/>
          <w:u w:val="single"/>
          <w:lang w:val="en-US" w:eastAsia="zh-CN"/>
        </w:rPr>
        <w:t>动力2021-19</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动力能源保障部</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373" w:firstLineChars="10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val="en-US" w:eastAsia="zh-CN"/>
        </w:rPr>
        <w:t>二一</w:t>
      </w:r>
      <w:r>
        <w:rPr>
          <w:rFonts w:hint="eastAsia" w:ascii="仿宋" w:hAnsi="仿宋" w:eastAsia="仿宋"/>
          <w:b/>
          <w:color w:val="auto"/>
          <w:sz w:val="32"/>
          <w:szCs w:val="32"/>
          <w:highlight w:val="none"/>
        </w:rPr>
        <w:t xml:space="preserve">年 </w:t>
      </w:r>
      <w:r>
        <w:rPr>
          <w:rFonts w:hint="eastAsia" w:ascii="仿宋" w:hAnsi="仿宋" w:eastAsia="仿宋"/>
          <w:b/>
          <w:color w:val="auto"/>
          <w:sz w:val="32"/>
          <w:szCs w:val="32"/>
          <w:highlight w:val="none"/>
          <w:lang w:val="en-US" w:eastAsia="zh-CN"/>
        </w:rPr>
        <w:t xml:space="preserve">四 </w:t>
      </w:r>
      <w:r>
        <w:rPr>
          <w:rFonts w:hint="eastAsia" w:ascii="仿宋" w:hAnsi="仿宋" w:eastAsia="仿宋"/>
          <w:b/>
          <w:color w:val="auto"/>
          <w:sz w:val="32"/>
          <w:szCs w:val="32"/>
          <w:highlight w:val="none"/>
        </w:rPr>
        <w:t>月</w:t>
      </w:r>
    </w:p>
    <w:p>
      <w:pPr>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rPr>
        <w:t>东区热水锅炉维护保养项目</w:t>
      </w: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val="en-US" w:eastAsia="zh-CN"/>
        </w:rPr>
        <w:t>部</w:t>
      </w:r>
      <w:r>
        <w:rPr>
          <w:rFonts w:hint="eastAsia" w:ascii="仿宋" w:hAnsi="仿宋" w:eastAsia="仿宋"/>
          <w:color w:val="auto"/>
          <w:sz w:val="28"/>
          <w:szCs w:val="28"/>
          <w:highlight w:val="none"/>
        </w:rPr>
        <w:t>决定于近期将对东区</w:t>
      </w:r>
      <w:r>
        <w:rPr>
          <w:rFonts w:hint="default" w:ascii="仿宋" w:hAnsi="仿宋" w:eastAsia="仿宋"/>
          <w:color w:val="auto"/>
          <w:sz w:val="28"/>
          <w:szCs w:val="28"/>
          <w:highlight w:val="none"/>
        </w:rPr>
        <w:t>热水锅炉维护保养</w:t>
      </w:r>
      <w:r>
        <w:rPr>
          <w:rFonts w:hint="eastAsia" w:ascii="仿宋" w:hAnsi="仿宋" w:eastAsia="仿宋"/>
          <w:color w:val="auto"/>
          <w:sz w:val="28"/>
          <w:szCs w:val="28"/>
          <w:highlight w:val="none"/>
        </w:rPr>
        <w:t>项目邀请符合相应条件的供应商就本项目进行比选。</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一、项目内容及要求</w:t>
      </w:r>
    </w:p>
    <w:p>
      <w:pPr>
        <w:widowControl/>
        <w:spacing w:line="360" w:lineRule="auto"/>
        <w:ind w:left="559" w:leftChars="266" w:firstLine="0" w:firstLineChars="0"/>
        <w:jc w:val="left"/>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（一）维护保养内容</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耐火泥维修</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按照锅炉使用的相关技术规范，进行</w:t>
      </w:r>
      <w:r>
        <w:rPr>
          <w:rFonts w:hint="eastAsia" w:ascii="仿宋" w:hAnsi="仿宋" w:eastAsia="仿宋"/>
          <w:color w:val="auto"/>
          <w:sz w:val="28"/>
          <w:szCs w:val="28"/>
          <w:highlight w:val="none"/>
          <w:lang w:val="en-US" w:eastAsia="zh-CN"/>
        </w:rPr>
        <w:t>9台</w:t>
      </w:r>
      <w:r>
        <w:rPr>
          <w:rFonts w:hint="eastAsia" w:ascii="仿宋" w:hAnsi="仿宋" w:eastAsia="仿宋"/>
          <w:color w:val="auto"/>
          <w:sz w:val="28"/>
          <w:szCs w:val="28"/>
          <w:highlight w:val="none"/>
        </w:rPr>
        <w:t>锅炉</w:t>
      </w:r>
      <w:r>
        <w:rPr>
          <w:rFonts w:hint="eastAsia" w:ascii="仿宋" w:hAnsi="仿宋" w:eastAsia="仿宋"/>
          <w:color w:val="auto"/>
          <w:sz w:val="28"/>
          <w:szCs w:val="28"/>
          <w:highlight w:val="none"/>
          <w:lang w:val="en-US" w:eastAsia="zh-CN"/>
        </w:rPr>
        <w:t>炉膛内</w:t>
      </w:r>
      <w:r>
        <w:rPr>
          <w:rFonts w:hint="eastAsia" w:ascii="仿宋" w:hAnsi="仿宋" w:eastAsia="仿宋"/>
          <w:color w:val="auto"/>
          <w:sz w:val="28"/>
          <w:szCs w:val="28"/>
          <w:highlight w:val="none"/>
        </w:rPr>
        <w:t>耐火泥检查，根据检查情况进行修补</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同时对东区航站楼能源站6台锅炉防爆门处的火孔砖与堵头进行</w:t>
      </w:r>
      <w:r>
        <w:rPr>
          <w:rFonts w:hint="eastAsia" w:ascii="仿宋" w:hAnsi="仿宋" w:eastAsia="仿宋"/>
          <w:color w:val="auto"/>
          <w:sz w:val="28"/>
          <w:szCs w:val="28"/>
          <w:highlight w:val="none"/>
        </w:rPr>
        <w:t>重做</w:t>
      </w:r>
      <w:r>
        <w:rPr>
          <w:rFonts w:hint="eastAsia" w:ascii="仿宋" w:hAnsi="仿宋" w:eastAsia="仿宋"/>
          <w:color w:val="auto"/>
          <w:sz w:val="28"/>
          <w:szCs w:val="28"/>
          <w:highlight w:val="none"/>
          <w:lang w:val="en-US" w:eastAsia="zh-CN"/>
        </w:rPr>
        <w:t>更换</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锅炉</w:t>
      </w:r>
      <w:r>
        <w:rPr>
          <w:rFonts w:hint="eastAsia" w:ascii="仿宋" w:hAnsi="仿宋" w:eastAsia="仿宋"/>
          <w:color w:val="auto"/>
          <w:sz w:val="28"/>
          <w:szCs w:val="28"/>
          <w:highlight w:val="none"/>
          <w:lang w:val="en-US" w:eastAsia="zh-CN"/>
        </w:rPr>
        <w:t>水室及炉膛</w:t>
      </w:r>
      <w:r>
        <w:rPr>
          <w:rFonts w:hint="eastAsia" w:ascii="仿宋" w:hAnsi="仿宋" w:eastAsia="仿宋"/>
          <w:color w:val="auto"/>
          <w:sz w:val="28"/>
          <w:szCs w:val="28"/>
          <w:highlight w:val="none"/>
        </w:rPr>
        <w:t>清洗</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1.2.1水室</w:t>
      </w:r>
      <w:r>
        <w:rPr>
          <w:rFonts w:hint="eastAsia" w:ascii="仿宋" w:hAnsi="仿宋" w:eastAsia="仿宋"/>
          <w:color w:val="auto"/>
          <w:sz w:val="28"/>
          <w:szCs w:val="28"/>
          <w:highlight w:val="none"/>
        </w:rPr>
        <w:t>清洗</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对锅炉水室进行化学清洗，清洗前需自行在特检局报备、告知</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炉膛清洗</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清</w:t>
      </w:r>
      <w:r>
        <w:rPr>
          <w:rFonts w:hint="eastAsia" w:ascii="仿宋" w:hAnsi="仿宋" w:eastAsia="仿宋"/>
          <w:color w:val="auto"/>
          <w:sz w:val="28"/>
          <w:szCs w:val="28"/>
          <w:highlight w:val="none"/>
        </w:rPr>
        <w:t>洗烟管、炉膛，</w:t>
      </w:r>
      <w:r>
        <w:rPr>
          <w:rFonts w:hint="eastAsia" w:ascii="仿宋" w:hAnsi="仿宋" w:eastAsia="仿宋"/>
          <w:color w:val="auto"/>
          <w:sz w:val="28"/>
          <w:szCs w:val="28"/>
          <w:highlight w:val="none"/>
          <w:lang w:val="en-US" w:eastAsia="zh-CN"/>
        </w:rPr>
        <w:t>确保烟管、炉膛干净无烟垢、积碳等残余物</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）检查炉膛、烟管有无异常变形，严重腐蚀等异常情况；</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清洗结束更换锅炉烟箱密封组件，恢复保温层</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2.3排水管、冷凝水管清洗</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通过疏通清洗，确保排水管、冷凝水管畅通。</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更换前烟箱密封件</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采用专用密封条密封烟箱，确保烟箱无漏风漏烟</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烟囱修复</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3.1</w:t>
      </w:r>
      <w:r>
        <w:rPr>
          <w:rFonts w:hint="eastAsia" w:ascii="仿宋" w:hAnsi="仿宋" w:eastAsia="仿宋"/>
          <w:color w:val="auto"/>
          <w:sz w:val="28"/>
          <w:szCs w:val="28"/>
          <w:highlight w:val="none"/>
          <w:lang w:val="en-US" w:eastAsia="zh-CN"/>
        </w:rPr>
        <w:t>拆卸9台锅炉排烟横向烟囱外层不锈钢皮和保温材料</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3.2</w:t>
      </w:r>
      <w:r>
        <w:rPr>
          <w:rFonts w:hint="eastAsia" w:ascii="仿宋" w:hAnsi="仿宋" w:eastAsia="仿宋"/>
          <w:color w:val="auto"/>
          <w:sz w:val="28"/>
          <w:szCs w:val="28"/>
          <w:highlight w:val="none"/>
          <w:lang w:val="en-US" w:eastAsia="zh-CN"/>
        </w:rPr>
        <w:t>用氩弧焊对内外层不锈钢装饰拼接处进行重新焊接</w:t>
      </w:r>
      <w:r>
        <w:rPr>
          <w:rFonts w:hint="eastAsia" w:ascii="仿宋" w:hAnsi="仿宋" w:eastAsia="仿宋"/>
          <w:color w:val="auto"/>
          <w:sz w:val="28"/>
          <w:szCs w:val="28"/>
          <w:highlight w:val="none"/>
        </w:rPr>
        <w:t>；</w:t>
      </w:r>
    </w:p>
    <w:p>
      <w:pPr>
        <w:widowControl/>
        <w:spacing w:line="360" w:lineRule="auto"/>
        <w:ind w:firstLine="560" w:firstLineChars="200"/>
        <w:jc w:val="left"/>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1.3.3对东区配套区能源站3台锅炉烟囱表面修补并对立管取样口进行围焊；</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4恢复外层不锈钢皮和保温材料</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5对烟囱底部排污管道进行重新改造</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en-US" w:eastAsia="zh-CN"/>
        </w:rPr>
        <w:t>6进行检漏实验，确保烟道安全、无漏水、滴水现象。</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1.4锅炉控制系统维护</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1.4.1检查控制系统供电情况，24V开关电源校正；</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1.4.2检查控制柜各控制器、接触器的接线，检查触点接触是否良好；</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1.4.3检查各部件电源线是否有老化或损坏现象，检查模块通讯线路，CPU和触摸屏的通讯线路及插口；</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1.4.4对温度传感器、压力传感器做模拟试验，检测安全保护性能；</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1.4.5检查触摸屏和CPU电池使用情况；</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1.4.6锅炉跳压试验，确保压力过高时，安全阀动作，保护正常；</w:t>
      </w:r>
    </w:p>
    <w:p>
      <w:pPr>
        <w:widowControl/>
        <w:spacing w:line="360" w:lineRule="auto"/>
        <w:ind w:firstLine="560" w:firstLineChars="20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1.4.7燃烧压力低、压力高和阀组泄漏试验，出现故障报警停炉，保护正常。</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.锅炉软水及给水系统维护</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.1检查树脂罐控制器设置，调整再生参数；</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.2更换</w:t>
      </w:r>
      <w:r>
        <w:rPr>
          <w:rFonts w:hint="eastAsia" w:ascii="仿宋" w:hAnsi="仿宋" w:eastAsia="仿宋"/>
          <w:color w:val="auto"/>
          <w:sz w:val="28"/>
          <w:szCs w:val="28"/>
          <w:highlight w:val="none"/>
          <w:lang w:val="en-US" w:eastAsia="zh-CN"/>
        </w:rPr>
        <w:t>4罐离子树脂罐的离子</w:t>
      </w:r>
      <w:r>
        <w:rPr>
          <w:rFonts w:hint="eastAsia" w:ascii="仿宋" w:hAnsi="仿宋" w:eastAsia="仿宋"/>
          <w:color w:val="auto"/>
          <w:sz w:val="28"/>
          <w:szCs w:val="28"/>
          <w:highlight w:val="none"/>
        </w:rPr>
        <w:t>树脂</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恢复树脂罐的活性</w:t>
      </w:r>
      <w:r>
        <w:rPr>
          <w:rFonts w:hint="eastAsia" w:ascii="仿宋" w:hAnsi="仿宋" w:eastAsia="仿宋"/>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1.5</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软水盐箱清洗和吸盐控制阀及其筛孔清洗</w:t>
      </w:r>
      <w:r>
        <w:rPr>
          <w:rFonts w:hint="eastAsia" w:ascii="仿宋" w:hAnsi="仿宋" w:eastAsia="仿宋"/>
          <w:color w:val="auto"/>
          <w:sz w:val="28"/>
          <w:szCs w:val="28"/>
          <w:highlight w:val="none"/>
          <w:lang w:eastAsia="zh-CN"/>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1.6</w:t>
      </w:r>
      <w:r>
        <w:rPr>
          <w:rFonts w:hint="eastAsia" w:ascii="仿宋" w:hAnsi="仿宋" w:eastAsia="仿宋"/>
          <w:color w:val="auto"/>
          <w:sz w:val="28"/>
          <w:szCs w:val="28"/>
          <w:highlight w:val="none"/>
        </w:rPr>
        <w:t>施工人员从事机组维护保养相关工作需持</w:t>
      </w:r>
      <w:r>
        <w:rPr>
          <w:rFonts w:hint="eastAsia" w:ascii="仿宋" w:hAnsi="仿宋" w:eastAsia="仿宋"/>
          <w:color w:val="auto"/>
          <w:sz w:val="28"/>
          <w:szCs w:val="28"/>
          <w:highlight w:val="none"/>
          <w:lang w:eastAsia="zh-CN"/>
        </w:rPr>
        <w:t>相应的</w:t>
      </w:r>
      <w:r>
        <w:rPr>
          <w:rFonts w:hint="eastAsia" w:ascii="仿宋" w:hAnsi="仿宋" w:eastAsia="仿宋"/>
          <w:color w:val="auto"/>
          <w:sz w:val="28"/>
          <w:szCs w:val="28"/>
          <w:highlight w:val="none"/>
        </w:rPr>
        <w:t>司炉证</w:t>
      </w:r>
      <w:r>
        <w:rPr>
          <w:rFonts w:hint="eastAsia" w:ascii="仿宋" w:hAnsi="仿宋" w:eastAsia="仿宋"/>
          <w:color w:val="auto"/>
          <w:sz w:val="28"/>
          <w:szCs w:val="28"/>
          <w:highlight w:val="none"/>
          <w:lang w:eastAsia="zh-CN"/>
        </w:rPr>
        <w:t>、焊工证</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lang w:val="en-US" w:eastAsia="zh-CN"/>
        </w:rPr>
        <w:t>低压</w:t>
      </w:r>
      <w:r>
        <w:rPr>
          <w:rFonts w:hint="eastAsia" w:ascii="仿宋" w:hAnsi="仿宋" w:eastAsia="仿宋"/>
          <w:color w:val="auto"/>
          <w:sz w:val="28"/>
          <w:szCs w:val="28"/>
          <w:highlight w:val="none"/>
        </w:rPr>
        <w:t>电工证。</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1.7</w:t>
      </w:r>
      <w:r>
        <w:rPr>
          <w:rFonts w:hint="eastAsia" w:ascii="仿宋" w:hAnsi="仿宋" w:eastAsia="仿宋"/>
          <w:color w:val="auto"/>
          <w:sz w:val="28"/>
          <w:szCs w:val="28"/>
          <w:highlight w:val="none"/>
        </w:rPr>
        <w:t>本项目的报价应包括：耐火泥、润滑油等材料以及涉及到的其他所有费用，以及近两年内售后维修服务所产生的费用。本项目报价为包干价，不再另行增加费用。</w:t>
      </w:r>
    </w:p>
    <w:p>
      <w:pPr>
        <w:pStyle w:val="28"/>
        <w:widowControl/>
        <w:numPr>
          <w:ilvl w:val="0"/>
          <w:numId w:val="0"/>
        </w:numPr>
        <w:spacing w:line="360" w:lineRule="auto"/>
        <w:ind w:leftChars="0" w:firstLine="640" w:firstLineChars="200"/>
        <w:jc w:val="left"/>
        <w:outlineLvl w:val="0"/>
        <w:rPr>
          <w:rFonts w:hint="eastAsia" w:ascii="Arial" w:hAnsi="Arial" w:eastAsia="楷体" w:cs="Times New Roman"/>
          <w:b w:val="0"/>
          <w:color w:val="auto"/>
          <w:kern w:val="2"/>
          <w:sz w:val="32"/>
          <w:szCs w:val="24"/>
          <w:highlight w:val="none"/>
          <w:lang w:val="en-US" w:eastAsia="zh-CN" w:bidi="ar-SA"/>
        </w:rPr>
      </w:pPr>
      <w:bookmarkStart w:id="0" w:name="_Toc11175"/>
      <w:r>
        <w:rPr>
          <w:rFonts w:hint="eastAsia" w:ascii="Arial" w:hAnsi="Arial" w:eastAsia="楷体" w:cs="Times New Roman"/>
          <w:b w:val="0"/>
          <w:color w:val="auto"/>
          <w:kern w:val="2"/>
          <w:sz w:val="32"/>
          <w:szCs w:val="24"/>
          <w:highlight w:val="none"/>
          <w:lang w:val="en-US" w:eastAsia="zh-CN" w:bidi="ar-SA"/>
        </w:rPr>
        <w:t>（二）项目要求</w:t>
      </w:r>
      <w:bookmarkEnd w:id="0"/>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1耐火泥使用材料要求</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维修材料拟选用微膨胀耐火可塑料；</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耐火可塑料理化指标（主要指烘干后强度）符合下表规定：</w:t>
      </w:r>
    </w:p>
    <w:tbl>
      <w:tblPr>
        <w:tblStyle w:val="18"/>
        <w:tblW w:w="932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9"/>
        <w:gridCol w:w="1672"/>
        <w:gridCol w:w="1672"/>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1041"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品种</w:t>
            </w:r>
          </w:p>
        </w:tc>
        <w:tc>
          <w:tcPr>
            <w:tcW w:w="1599"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110±5℃烘干后耐压强度（MPa）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110±5℃烘干后抗折强度（MPa）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1300℃×2h烧后耐压强度（MPa）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1300℃×2h烧后抗折强度（MPa）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1300℃×2h烧后线变化率（％）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041"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耐火可塑料</w:t>
            </w:r>
          </w:p>
        </w:tc>
        <w:tc>
          <w:tcPr>
            <w:tcW w:w="1599" w:type="dxa"/>
            <w:vAlign w:val="center"/>
          </w:tcPr>
          <w:p>
            <w:pPr>
              <w:spacing w:line="348" w:lineRule="auto"/>
              <w:ind w:right="71" w:rightChars="34" w:firstLine="0" w:firstLineChars="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≥30</w:t>
            </w:r>
          </w:p>
        </w:tc>
        <w:tc>
          <w:tcPr>
            <w:tcW w:w="1672" w:type="dxa"/>
            <w:vAlign w:val="center"/>
          </w:tcPr>
          <w:p>
            <w:pPr>
              <w:spacing w:line="348" w:lineRule="auto"/>
              <w:ind w:right="71" w:rightChars="34" w:firstLine="800" w:firstLineChars="2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＞4</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w:t>
            </w:r>
          </w:p>
        </w:tc>
        <w:tc>
          <w:tcPr>
            <w:tcW w:w="1672" w:type="dxa"/>
            <w:vAlign w:val="center"/>
          </w:tcPr>
          <w:p>
            <w:pPr>
              <w:spacing w:line="348" w:lineRule="auto"/>
              <w:ind w:right="71" w:rightChars="34" w:firstLine="800" w:firstLineChars="25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w:t>
            </w:r>
          </w:p>
        </w:tc>
        <w:tc>
          <w:tcPr>
            <w:tcW w:w="1672" w:type="dxa"/>
            <w:vAlign w:val="center"/>
          </w:tcPr>
          <w:p>
            <w:pPr>
              <w:spacing w:line="348" w:lineRule="auto"/>
              <w:ind w:right="71" w:rightChars="34" w:firstLine="0" w:firstLineChars="0"/>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＜-0.5</w:t>
            </w:r>
          </w:p>
        </w:tc>
      </w:tr>
    </w:tbl>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2.2耐火泥修复</w:t>
      </w:r>
      <w:r>
        <w:rPr>
          <w:rFonts w:hint="eastAsia" w:ascii="仿宋" w:hAnsi="仿宋" w:eastAsia="仿宋"/>
          <w:color w:val="auto"/>
          <w:sz w:val="28"/>
          <w:szCs w:val="28"/>
          <w:highlight w:val="none"/>
        </w:rPr>
        <w:t>施工方法</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2.2.1</w:t>
      </w:r>
      <w:r>
        <w:rPr>
          <w:rFonts w:hint="eastAsia" w:ascii="仿宋" w:hAnsi="仿宋" w:eastAsia="仿宋"/>
          <w:color w:val="auto"/>
          <w:sz w:val="28"/>
          <w:szCs w:val="28"/>
          <w:highlight w:val="none"/>
        </w:rPr>
        <w:t>拆除后部防爆门，打开锅炉前后烟箱；</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2.2.2</w:t>
      </w:r>
      <w:r>
        <w:rPr>
          <w:rFonts w:hint="eastAsia" w:ascii="仿宋" w:hAnsi="仿宋" w:eastAsia="仿宋"/>
          <w:color w:val="auto"/>
          <w:sz w:val="28"/>
          <w:szCs w:val="28"/>
          <w:highlight w:val="none"/>
        </w:rPr>
        <w:t>施工前，将施工表面清理干净，使之无油、铁锈、焊渣等杂物；</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2.2.3</w:t>
      </w:r>
      <w:r>
        <w:rPr>
          <w:rFonts w:hint="eastAsia" w:ascii="仿宋" w:hAnsi="仿宋" w:eastAsia="仿宋"/>
          <w:color w:val="auto"/>
          <w:sz w:val="28"/>
          <w:szCs w:val="28"/>
          <w:highlight w:val="none"/>
        </w:rPr>
        <w:t>耐火可塑料严格按照下述配比（重量比）进行充分混料：</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耐火可塑料集料：促凝剂：粘接剂＝100：2～4：10～11；</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耐火可塑料集料重量偏差不超过2％，促凝剂重量偏差不超过1％。促凝剂的加入量可视施工情况适当调节，搅伴时待干料拌和均匀后，逐渐加入粘合剂，充分搅拌均匀至符合施工要求为止；</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2.2.4</w:t>
      </w:r>
      <w:r>
        <w:rPr>
          <w:rFonts w:hint="eastAsia" w:ascii="仿宋" w:hAnsi="仿宋" w:eastAsia="仿宋"/>
          <w:color w:val="auto"/>
          <w:sz w:val="28"/>
          <w:szCs w:val="28"/>
          <w:highlight w:val="none"/>
        </w:rPr>
        <w:t>耐火可塑料施工宜连续进行，且应随搅拌随浇注，即搅拌好的耐火可塑料存放时间不得超过15分钟；</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2.2.5</w:t>
      </w:r>
      <w:r>
        <w:rPr>
          <w:rFonts w:hint="eastAsia" w:ascii="仿宋" w:hAnsi="仿宋" w:eastAsia="仿宋"/>
          <w:color w:val="auto"/>
          <w:sz w:val="28"/>
          <w:szCs w:val="28"/>
          <w:highlight w:val="none"/>
        </w:rPr>
        <w:t>对于原耐火泥疏松部位应轻敲使其脱落，然后用耐火可塑料实施修补；</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2.2.6</w:t>
      </w:r>
      <w:r>
        <w:rPr>
          <w:rFonts w:hint="eastAsia" w:ascii="仿宋" w:hAnsi="仿宋" w:eastAsia="仿宋"/>
          <w:color w:val="auto"/>
          <w:sz w:val="28"/>
          <w:szCs w:val="28"/>
          <w:highlight w:val="none"/>
        </w:rPr>
        <w:t>耐火可塑料自然干燥养护时，不少于三昼夜；</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2.2.7</w:t>
      </w:r>
      <w:r>
        <w:rPr>
          <w:rFonts w:hint="eastAsia" w:ascii="仿宋" w:hAnsi="仿宋" w:eastAsia="仿宋"/>
          <w:color w:val="auto"/>
          <w:sz w:val="28"/>
          <w:szCs w:val="28"/>
          <w:highlight w:val="none"/>
        </w:rPr>
        <w:t>如采用模板时，在正常干燥的养护条件下，允许的脱模时间不少于两小时。</w:t>
      </w:r>
    </w:p>
    <w:p>
      <w:pPr>
        <w:spacing w:line="360" w:lineRule="auto"/>
        <w:ind w:firstLine="560" w:firstLineChars="200"/>
        <w:rPr>
          <w:rFonts w:ascii="仿宋_GB2312" w:hAnsi="宋体" w:eastAsia="仿宋_GB2312"/>
          <w:color w:val="auto"/>
          <w:sz w:val="28"/>
          <w:szCs w:val="28"/>
          <w:highlight w:val="none"/>
        </w:rPr>
      </w:pPr>
      <w:r>
        <w:rPr>
          <w:rFonts w:hint="eastAsia" w:ascii="仿宋" w:hAnsi="仿宋" w:eastAsia="仿宋"/>
          <w:color w:val="auto"/>
          <w:sz w:val="28"/>
          <w:szCs w:val="28"/>
          <w:highlight w:val="none"/>
          <w:lang w:val="en-US" w:eastAsia="zh-CN"/>
        </w:rPr>
        <w:t>2.2.8</w:t>
      </w:r>
      <w:r>
        <w:rPr>
          <w:rFonts w:hint="eastAsia" w:ascii="仿宋" w:hAnsi="仿宋" w:eastAsia="仿宋"/>
          <w:color w:val="auto"/>
          <w:sz w:val="28"/>
          <w:szCs w:val="28"/>
          <w:highlight w:val="none"/>
        </w:rPr>
        <w:t>耐火可塑料干燥养护完毕后恢复后部防爆门</w:t>
      </w:r>
      <w:r>
        <w:rPr>
          <w:rFonts w:ascii="仿宋_GB2312" w:hAnsi="宋体" w:eastAsia="仿宋_GB2312"/>
          <w:color w:val="auto"/>
          <w:sz w:val="28"/>
          <w:szCs w:val="28"/>
          <w:highlight w:val="none"/>
        </w:rPr>
        <w:t>。</w:t>
      </w:r>
    </w:p>
    <w:p>
      <w:pPr>
        <w:spacing w:line="360" w:lineRule="auto"/>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2.3</w:t>
      </w:r>
      <w:r>
        <w:rPr>
          <w:rFonts w:hint="eastAsia" w:ascii="仿宋" w:hAnsi="仿宋" w:eastAsia="仿宋"/>
          <w:color w:val="auto"/>
          <w:sz w:val="28"/>
          <w:szCs w:val="28"/>
          <w:highlight w:val="none"/>
          <w:lang w:val="en-US" w:eastAsia="zh-CN"/>
        </w:rPr>
        <w:t>水室清洗单位应具备锅炉化学清洗，锅炉化学清洗为D级及以上资质，并对化学清洗的质量负责，及时做好有关锅炉化学清洗的施工记录，妥善保存锅炉资料和见证材料，在化学清洗竣工后应当按照《条例》规定，在30日内将有关技术资料完整移交给锅炉使用单位存档</w:t>
      </w:r>
      <w:r>
        <w:rPr>
          <w:rFonts w:hint="eastAsia" w:ascii="仿宋_GB2312" w:hAnsi="宋体" w:eastAsia="仿宋_GB2312"/>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ascii="仿宋" w:hAnsi="仿宋" w:eastAsia="仿宋" w:cs="仿宋"/>
          <w:color w:val="auto"/>
          <w:sz w:val="28"/>
          <w:szCs w:val="28"/>
          <w:highlight w:val="none"/>
        </w:rPr>
        <w:t>施工安全要求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1施工前，</w:t>
      </w:r>
      <w:r>
        <w:rPr>
          <w:rFonts w:hint="eastAsia" w:ascii="仿宋" w:hAnsi="仿宋" w:eastAsia="仿宋" w:cs="仿宋"/>
          <w:color w:val="auto"/>
          <w:sz w:val="28"/>
          <w:szCs w:val="28"/>
          <w:highlight w:val="none"/>
          <w:lang w:val="en-US" w:eastAsia="zh-CN"/>
        </w:rPr>
        <w:t>施工单位</w:t>
      </w:r>
      <w:r>
        <w:rPr>
          <w:rFonts w:ascii="仿宋" w:hAnsi="仿宋" w:eastAsia="仿宋" w:cs="仿宋"/>
          <w:color w:val="auto"/>
          <w:sz w:val="28"/>
          <w:szCs w:val="28"/>
          <w:highlight w:val="none"/>
        </w:rPr>
        <w:t>应对施工现场进行勘查。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2施工时，</w:t>
      </w:r>
      <w:r>
        <w:rPr>
          <w:rFonts w:hint="eastAsia" w:ascii="仿宋" w:hAnsi="仿宋" w:eastAsia="仿宋" w:cs="仿宋"/>
          <w:color w:val="auto"/>
          <w:sz w:val="28"/>
          <w:szCs w:val="28"/>
          <w:highlight w:val="none"/>
        </w:rPr>
        <w:t>动力能源保障部暖通中心</w:t>
      </w:r>
      <w:r>
        <w:rPr>
          <w:rFonts w:ascii="仿宋" w:hAnsi="仿宋" w:eastAsia="仿宋" w:cs="仿宋"/>
          <w:color w:val="auto"/>
          <w:sz w:val="28"/>
          <w:szCs w:val="28"/>
          <w:highlight w:val="none"/>
        </w:rPr>
        <w:t>负责检查工程施工材料及设备是否与提供的设备清单一致。</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进入炉膛</w:t>
      </w:r>
      <w:r>
        <w:rPr>
          <w:rFonts w:ascii="仿宋" w:hAnsi="仿宋" w:eastAsia="仿宋" w:cs="仿宋"/>
          <w:color w:val="auto"/>
          <w:sz w:val="28"/>
          <w:szCs w:val="28"/>
          <w:highlight w:val="none"/>
        </w:rPr>
        <w:t>施工时，</w:t>
      </w:r>
      <w:r>
        <w:rPr>
          <w:rFonts w:hint="eastAsia" w:ascii="仿宋" w:hAnsi="仿宋" w:eastAsia="仿宋" w:cs="仿宋"/>
          <w:color w:val="auto"/>
          <w:sz w:val="28"/>
          <w:szCs w:val="28"/>
          <w:highlight w:val="none"/>
          <w:lang w:val="en-US" w:eastAsia="zh-CN"/>
        </w:rPr>
        <w:t>严格按照动力能源保障部受限空间相关规定，提前填写受限空间作业申请表，并在上级完成审批后方可进入施工</w:t>
      </w:r>
      <w:r>
        <w:rPr>
          <w:rFonts w:ascii="仿宋" w:hAnsi="仿宋" w:eastAsia="仿宋" w:cs="仿宋"/>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2.4.4维护电气设备时应做好验电工作，确保在停电状态下进行维保工作。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2.4.5维护保养必须做好安全措施，施工中使用的个人工具、电动工具必须符合安全工作规程的要求，且按正确方法使用。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2.4.6应做好高空作业的保护措施。</w:t>
      </w:r>
    </w:p>
    <w:p>
      <w:pPr>
        <w:keepNext w:val="0"/>
        <w:keepLines w:val="0"/>
        <w:pageBreakBefore w:val="0"/>
        <w:kinsoku/>
        <w:wordWrap/>
        <w:overflowPunct/>
        <w:topLinePunct w:val="0"/>
        <w:autoSpaceDE/>
        <w:autoSpaceDN/>
        <w:bidi w:val="0"/>
        <w:spacing w:line="360" w:lineRule="auto"/>
        <w:ind w:firstLine="640" w:firstLineChars="200"/>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（三）安全责任要求</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lang w:val="en-US" w:eastAsia="zh-CN"/>
        </w:rPr>
        <w:t>维保过程中若要动火、动焊施工</w:t>
      </w:r>
      <w:r>
        <w:rPr>
          <w:rFonts w:hint="eastAsia" w:ascii="仿宋" w:hAnsi="仿宋" w:eastAsia="仿宋" w:cs="仿宋"/>
          <w:color w:val="auto"/>
          <w:sz w:val="28"/>
          <w:szCs w:val="28"/>
          <w:highlight w:val="none"/>
        </w:rPr>
        <w:t>需遵守重庆机场集团有限公司消防管理规定，并接受项目单位监督。</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outlineLvl w:val="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3.2承揽方在作业过程中发生的任何安全事故，责任由承揽方自行承担。</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outlineLvl w:val="9"/>
        <w:rPr>
          <w:rFonts w:hint="eastAsia" w:ascii="Arial" w:hAnsi="Arial" w:eastAsia="楷体" w:cs="Times New Roman"/>
          <w:b w:val="0"/>
          <w:color w:val="auto"/>
          <w:kern w:val="2"/>
          <w:sz w:val="32"/>
          <w:szCs w:val="24"/>
          <w:highlight w:val="none"/>
          <w:lang w:val="en-US" w:eastAsia="zh-CN" w:bidi="ar-SA"/>
        </w:rPr>
      </w:pPr>
      <w:r>
        <w:rPr>
          <w:rFonts w:hint="eastAsia" w:ascii="Arial" w:hAnsi="Arial" w:eastAsia="楷体" w:cs="Times New Roman"/>
          <w:b w:val="0"/>
          <w:color w:val="auto"/>
          <w:kern w:val="2"/>
          <w:sz w:val="32"/>
          <w:szCs w:val="24"/>
          <w:highlight w:val="none"/>
          <w:lang w:val="en-US" w:eastAsia="zh-CN" w:bidi="ar-SA"/>
        </w:rPr>
        <w:t>（四）验收要求</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 w:hAnsi="仿宋" w:eastAsia="仿宋" w:cs="仿宋"/>
          <w:color w:val="auto"/>
          <w:sz w:val="28"/>
          <w:szCs w:val="28"/>
          <w:highlight w:val="none"/>
        </w:rPr>
        <w:t>项目完工后，由乙方向甲方提出验收申请并提供甲方锅炉、水质在运行中的参数和报告，所有项目符合TSG G0001-2012 《锅炉安全技术监察规程》标准且锅炉运行两周无问题即验收合格</w:t>
      </w:r>
      <w:r>
        <w:rPr>
          <w:rFonts w:hint="eastAsia" w:ascii="仿宋" w:hAnsi="仿宋" w:eastAsia="仿宋" w:cs="仿宋"/>
          <w:color w:val="auto"/>
          <w:sz w:val="28"/>
          <w:szCs w:val="28"/>
          <w:highlight w:val="none"/>
          <w:lang w:eastAsia="zh-CN"/>
        </w:rPr>
        <w:t>。</w:t>
      </w:r>
    </w:p>
    <w:p>
      <w:pPr>
        <w:pStyle w:val="28"/>
        <w:widowControl/>
        <w:numPr>
          <w:ilvl w:val="0"/>
          <w:numId w:val="0"/>
        </w:numPr>
        <w:spacing w:line="360" w:lineRule="auto"/>
        <w:ind w:leftChars="0"/>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二、</w:t>
      </w:r>
      <w:r>
        <w:rPr>
          <w:rFonts w:hint="eastAsia" w:ascii="仿宋" w:hAnsi="仿宋" w:eastAsia="仿宋"/>
          <w:b/>
          <w:bCs/>
          <w:color w:val="auto"/>
          <w:kern w:val="0"/>
          <w:sz w:val="28"/>
          <w:szCs w:val="28"/>
          <w:highlight w:val="none"/>
        </w:rPr>
        <w:t>工期及售后服务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1.工期：</w:t>
      </w:r>
      <w:r>
        <w:rPr>
          <w:rFonts w:hint="eastAsia" w:ascii="仿宋" w:hAnsi="仿宋" w:eastAsia="仿宋" w:cs="仿宋"/>
          <w:color w:val="auto"/>
          <w:sz w:val="28"/>
          <w:szCs w:val="28"/>
          <w:highlight w:val="none"/>
          <w:lang w:eastAsia="zh-CN"/>
        </w:rPr>
        <w:t>工期为</w:t>
      </w:r>
      <w:r>
        <w:rPr>
          <w:rFonts w:hint="eastAsia" w:ascii="仿宋" w:hAnsi="仿宋" w:eastAsia="仿宋" w:cs="仿宋"/>
          <w:color w:val="auto"/>
          <w:sz w:val="28"/>
          <w:szCs w:val="28"/>
          <w:highlight w:val="none"/>
        </w:rPr>
        <w:t>开工报告批复之日起60日历天。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2.质保期：自验收合格之日起</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w:t>
      </w:r>
    </w:p>
    <w:p>
      <w:pPr>
        <w:spacing w:line="360" w:lineRule="auto"/>
        <w:ind w:firstLine="560" w:firstLineChars="200"/>
        <w:rPr>
          <w:rFonts w:hint="eastAsia" w:ascii="仿宋_GB2312" w:hAnsi="宋体" w:eastAsia="仿宋_GB2312"/>
          <w:color w:val="auto"/>
          <w:sz w:val="28"/>
          <w:szCs w:val="28"/>
          <w:highlight w:val="none"/>
          <w:lang w:eastAsia="zh-CN"/>
        </w:rPr>
      </w:pPr>
      <w:r>
        <w:rPr>
          <w:rFonts w:hint="eastAsia" w:ascii="仿宋" w:hAnsi="仿宋" w:eastAsia="仿宋" w:cs="仿宋"/>
          <w:color w:val="auto"/>
          <w:sz w:val="28"/>
          <w:szCs w:val="28"/>
          <w:highlight w:val="none"/>
        </w:rPr>
        <w:t>3.响应时间：质保期内出现与本项目有关或本项目引起的故障，在接到机场工作人员通知后，需派专业技术人员在24小时内赶到重庆江北国际机场处理故障,若未及时响应，每次扣除质保金5%。</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 w:name="_Toc3388"/>
      <w:bookmarkStart w:id="2" w:name="_Toc17995_WPSOffice_Level1"/>
      <w:r>
        <w:rPr>
          <w:rFonts w:hint="eastAsia" w:ascii="仿宋" w:hAnsi="仿宋" w:eastAsia="仿宋"/>
          <w:b/>
          <w:bCs/>
          <w:color w:val="auto"/>
          <w:kern w:val="0"/>
          <w:sz w:val="28"/>
          <w:szCs w:val="28"/>
          <w:highlight w:val="none"/>
          <w:lang w:val="en-US" w:eastAsia="zh-CN"/>
        </w:rPr>
        <w:t>三、</w:t>
      </w:r>
      <w:r>
        <w:rPr>
          <w:rFonts w:hint="eastAsia" w:ascii="仿宋" w:hAnsi="仿宋" w:eastAsia="仿宋"/>
          <w:b/>
          <w:bCs/>
          <w:color w:val="auto"/>
          <w:kern w:val="0"/>
          <w:sz w:val="28"/>
          <w:szCs w:val="28"/>
          <w:highlight w:val="none"/>
        </w:rPr>
        <w:t>支付方式</w:t>
      </w:r>
      <w:bookmarkEnd w:id="1"/>
      <w:bookmarkEnd w:id="2"/>
    </w:p>
    <w:p>
      <w:pPr>
        <w:spacing w:line="360" w:lineRule="auto"/>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ascii="仿宋_GB2312" w:hAnsi="宋体" w:eastAsia="仿宋_GB2312"/>
          <w:color w:val="auto"/>
          <w:sz w:val="28"/>
          <w:szCs w:val="28"/>
          <w:highlight w:val="none"/>
        </w:rPr>
        <w:t>.</w:t>
      </w:r>
      <w:r>
        <w:rPr>
          <w:rFonts w:hint="default" w:ascii="仿宋_GB2312" w:hAnsi="宋体" w:eastAsia="仿宋_GB2312"/>
          <w:color w:val="auto"/>
          <w:sz w:val="28"/>
          <w:szCs w:val="28"/>
          <w:highlight w:val="none"/>
        </w:rPr>
        <w:t>项目完工后经验收合格后支付</w:t>
      </w:r>
      <w:r>
        <w:rPr>
          <w:rFonts w:hint="eastAsia" w:ascii="仿宋_GB2312" w:hAnsi="宋体" w:eastAsia="仿宋_GB2312"/>
          <w:color w:val="auto"/>
          <w:sz w:val="28"/>
          <w:szCs w:val="28"/>
          <w:highlight w:val="none"/>
          <w:lang w:val="en-US" w:eastAsia="zh-CN"/>
        </w:rPr>
        <w:t>合同金额</w:t>
      </w:r>
      <w:r>
        <w:rPr>
          <w:rFonts w:hint="default" w:ascii="仿宋_GB2312" w:hAnsi="宋体" w:eastAsia="仿宋_GB2312"/>
          <w:color w:val="auto"/>
          <w:sz w:val="28"/>
          <w:szCs w:val="28"/>
          <w:highlight w:val="none"/>
        </w:rPr>
        <w:t>95%。</w:t>
      </w:r>
      <w:r>
        <w:rPr>
          <w:rFonts w:hint="eastAsia" w:ascii="仿宋_GB2312" w:hAnsi="宋体" w:eastAsia="仿宋_GB2312"/>
          <w:color w:val="auto"/>
          <w:sz w:val="28"/>
          <w:szCs w:val="28"/>
          <w:highlight w:val="none"/>
          <w:lang w:val="en-US" w:eastAsia="zh-CN"/>
        </w:rPr>
        <w:t>另5%作为质保金，</w:t>
      </w:r>
      <w:r>
        <w:rPr>
          <w:rFonts w:hint="default" w:ascii="仿宋_GB2312" w:hAnsi="宋体" w:eastAsia="仿宋_GB2312"/>
          <w:color w:val="auto"/>
          <w:sz w:val="28"/>
          <w:szCs w:val="28"/>
          <w:highlight w:val="none"/>
        </w:rPr>
        <w:t>质保期结束无质量问题后支付</w:t>
      </w:r>
      <w:r>
        <w:rPr>
          <w:rFonts w:hint="eastAsia" w:ascii="仿宋_GB2312" w:hAnsi="宋体" w:eastAsia="仿宋_GB2312"/>
          <w:color w:val="auto"/>
          <w:sz w:val="28"/>
          <w:szCs w:val="28"/>
          <w:highlight w:val="none"/>
        </w:rPr>
        <w:t>。</w:t>
      </w:r>
    </w:p>
    <w:p>
      <w:pPr>
        <w:widowControl/>
        <w:spacing w:line="360" w:lineRule="auto"/>
        <w:ind w:firstLine="560" w:firstLineChars="200"/>
        <w:jc w:val="left"/>
        <w:rPr>
          <w:rFonts w:hint="eastAsia" w:ascii="仿宋" w:hAnsi="仿宋" w:eastAsia="仿宋"/>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widowControl/>
        <w:spacing w:line="360" w:lineRule="auto"/>
        <w:jc w:val="left"/>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lang w:val="en-US" w:eastAsia="zh-CN"/>
        </w:rPr>
        <w:t>四、</w:t>
      </w:r>
      <w:r>
        <w:rPr>
          <w:rFonts w:hint="eastAsia" w:ascii="仿宋" w:hAnsi="仿宋" w:eastAsia="仿宋"/>
          <w:b/>
          <w:bCs/>
          <w:color w:val="auto"/>
          <w:kern w:val="0"/>
          <w:sz w:val="28"/>
          <w:szCs w:val="28"/>
          <w:highlight w:val="none"/>
        </w:rPr>
        <w:t>合格报价供应商</w:t>
      </w:r>
    </w:p>
    <w:p>
      <w:pPr>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依法注册的独立法人，具备有效的营业执照。（须提供营业执照复印件并加盖公章）。</w:t>
      </w:r>
    </w:p>
    <w:p>
      <w:pPr>
        <w:ind w:firstLine="560" w:firstLineChars="200"/>
        <w:rPr>
          <w:rFonts w:ascii="仿宋" w:hAnsi="仿宋" w:eastAsia="仿宋"/>
          <w:color w:val="auto"/>
          <w:sz w:val="28"/>
          <w:szCs w:val="28"/>
          <w:highlight w:val="none"/>
        </w:rPr>
      </w:pPr>
      <w:r>
        <w:rPr>
          <w:rFonts w:hint="eastAsia" w:ascii="仿宋_GB2312" w:eastAsia="仿宋_GB2312"/>
          <w:color w:val="auto"/>
          <w:sz w:val="28"/>
          <w:szCs w:val="28"/>
          <w:highlight w:val="none"/>
          <w:lang w:val="en-US" w:eastAsia="zh-CN"/>
        </w:rPr>
        <w:t>2.</w:t>
      </w:r>
      <w:r>
        <w:rPr>
          <w:rFonts w:hint="eastAsia" w:ascii="仿宋" w:hAnsi="仿宋" w:eastAsia="仿宋"/>
          <w:color w:val="auto"/>
          <w:sz w:val="28"/>
          <w:szCs w:val="28"/>
          <w:highlight w:val="none"/>
        </w:rPr>
        <w:t>必须开具增值税发票，具有与本比选文件要求相适应的安装和维修能力，包括供应能力、售后服务能力和安装能力的生产厂家或经营商。比选响应单位必须具备：</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2.1公司为独立法人，本项目不接受联合体投标。</w:t>
      </w:r>
    </w:p>
    <w:p>
      <w:pPr>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2.2公司应具备特种设备安装改造修理许可证（锅炉），施工类别应包括为改造或修理之一，级别三级（含）以上。</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为本项目配备的施工人员至少</w:t>
      </w:r>
      <w:r>
        <w:rPr>
          <w:rFonts w:hint="eastAsia" w:ascii="仿宋" w:hAnsi="仿宋" w:eastAsia="仿宋"/>
          <w:color w:val="auto"/>
          <w:sz w:val="28"/>
          <w:szCs w:val="28"/>
          <w:highlight w:val="none"/>
          <w:lang w:eastAsia="zh-CN"/>
        </w:rPr>
        <w:t>1</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lang w:val="en-US" w:eastAsia="zh-CN"/>
        </w:rPr>
        <w:t>持有有效的</w:t>
      </w:r>
      <w:r>
        <w:rPr>
          <w:rFonts w:hint="eastAsia" w:ascii="仿宋" w:hAnsi="仿宋" w:eastAsia="仿宋"/>
          <w:color w:val="auto"/>
          <w:sz w:val="28"/>
          <w:szCs w:val="28"/>
          <w:highlight w:val="none"/>
        </w:rPr>
        <w:t>低压电工证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1人持有有效的焊接与热切割证、1人持有有效的锅炉司炉证</w:t>
      </w:r>
      <w:r>
        <w:rPr>
          <w:rFonts w:hint="eastAsia" w:ascii="仿宋" w:hAnsi="仿宋" w:eastAsia="仿宋"/>
          <w:color w:val="auto"/>
          <w:sz w:val="28"/>
          <w:szCs w:val="28"/>
          <w:highlight w:val="none"/>
        </w:rPr>
        <w:t>。（须提供</w:t>
      </w:r>
      <w:r>
        <w:rPr>
          <w:rFonts w:hint="eastAsia" w:ascii="仿宋" w:hAnsi="仿宋" w:eastAsia="仿宋"/>
          <w:color w:val="auto"/>
          <w:sz w:val="28"/>
          <w:szCs w:val="28"/>
          <w:highlight w:val="none"/>
          <w:lang w:val="en-US" w:eastAsia="zh-CN"/>
        </w:rPr>
        <w:t>证件</w:t>
      </w:r>
      <w:r>
        <w:rPr>
          <w:rFonts w:hint="eastAsia" w:ascii="仿宋" w:hAnsi="仿宋" w:eastAsia="仿宋"/>
          <w:color w:val="auto"/>
          <w:sz w:val="28"/>
          <w:szCs w:val="28"/>
          <w:highlight w:val="none"/>
        </w:rPr>
        <w:t>正反面复印件，并加盖公章）</w:t>
      </w:r>
    </w:p>
    <w:p>
      <w:pPr>
        <w:spacing w:line="360" w:lineRule="auto"/>
        <w:rPr>
          <w:rFonts w:ascii="仿宋" w:hAnsi="仿宋" w:eastAsia="仿宋"/>
          <w:b/>
          <w:bCs/>
          <w:color w:val="auto"/>
          <w:sz w:val="28"/>
          <w:szCs w:val="28"/>
          <w:highlight w:val="none"/>
        </w:rPr>
      </w:pP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w:t>
      </w:r>
      <w:r>
        <w:rPr>
          <w:rFonts w:hint="eastAsia" w:ascii="仿宋" w:hAnsi="仿宋" w:eastAsia="仿宋"/>
          <w:b/>
          <w:bCs/>
          <w:color w:val="auto"/>
          <w:sz w:val="28"/>
          <w:szCs w:val="28"/>
          <w:highlight w:val="none"/>
        </w:rPr>
        <w:t>成交标准</w:t>
      </w:r>
    </w:p>
    <w:p>
      <w:pPr>
        <w:pStyle w:val="28"/>
        <w:numPr>
          <w:ilvl w:val="0"/>
          <w:numId w:val="1"/>
        </w:numPr>
        <w:spacing w:line="360" w:lineRule="auto"/>
        <w:ind w:firstLineChars="0"/>
        <w:outlineLvl w:val="1"/>
        <w:rPr>
          <w:rFonts w:ascii="楷体" w:hAnsi="楷体" w:eastAsia="楷体" w:cs="楷体"/>
          <w:color w:val="auto"/>
          <w:sz w:val="28"/>
          <w:szCs w:val="28"/>
          <w:highlight w:val="none"/>
        </w:rPr>
      </w:pPr>
      <w:bookmarkStart w:id="3" w:name="_Toc24838"/>
      <w:r>
        <w:rPr>
          <w:rFonts w:hint="eastAsia" w:ascii="楷体" w:hAnsi="楷体" w:eastAsia="楷体" w:cs="楷体"/>
          <w:color w:val="auto"/>
          <w:sz w:val="28"/>
          <w:szCs w:val="28"/>
          <w:highlight w:val="none"/>
        </w:rPr>
        <w:t>限价</w:t>
      </w:r>
      <w:bookmarkEnd w:id="3"/>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本项目最高限价（不含增值税金额）为</w:t>
      </w:r>
      <w:r>
        <w:rPr>
          <w:rFonts w:ascii="仿宋_GB2312" w:hAnsi="宋体" w:eastAsia="仿宋_GB2312"/>
          <w:bCs/>
          <w:color w:val="auto"/>
          <w:sz w:val="28"/>
          <w:szCs w:val="28"/>
          <w:highlight w:val="none"/>
          <w:u w:val="single"/>
        </w:rPr>
        <w:t xml:space="preserve"> </w:t>
      </w:r>
      <w:r>
        <w:rPr>
          <w:rFonts w:hint="eastAsia" w:ascii="仿宋_GB2312" w:hAnsi="宋体" w:eastAsia="仿宋_GB2312"/>
          <w:bCs/>
          <w:color w:val="auto"/>
          <w:sz w:val="28"/>
          <w:szCs w:val="28"/>
          <w:highlight w:val="none"/>
          <w:u w:val="single"/>
          <w:lang w:val="en-US" w:eastAsia="zh-CN"/>
        </w:rPr>
        <w:t xml:space="preserve">37 </w:t>
      </w:r>
      <w:r>
        <w:rPr>
          <w:rFonts w:hint="eastAsia" w:ascii="仿宋_GB2312" w:hAnsi="宋体" w:eastAsia="仿宋_GB2312"/>
          <w:bCs/>
          <w:color w:val="auto"/>
          <w:sz w:val="28"/>
          <w:szCs w:val="28"/>
          <w:highlight w:val="none"/>
        </w:rPr>
        <w:t>万元（大写金额：</w:t>
      </w:r>
      <w:r>
        <w:rPr>
          <w:rFonts w:hint="eastAsia" w:ascii="仿宋_GB2312" w:hAnsi="宋体" w:eastAsia="仿宋_GB2312"/>
          <w:bCs/>
          <w:color w:val="auto"/>
          <w:sz w:val="28"/>
          <w:szCs w:val="28"/>
          <w:highlight w:val="none"/>
          <w:lang w:val="en-US" w:eastAsia="zh-CN"/>
        </w:rPr>
        <w:t xml:space="preserve"> 叁拾柒万元整 </w:t>
      </w:r>
      <w:r>
        <w:rPr>
          <w:rFonts w:hint="eastAsia" w:ascii="仿宋_GB2312" w:hAnsi="宋体" w:eastAsia="仿宋_GB2312"/>
          <w:bCs/>
          <w:color w:val="auto"/>
          <w:sz w:val="28"/>
          <w:szCs w:val="28"/>
          <w:highlight w:val="none"/>
        </w:rPr>
        <w:t>），报价超过最高限价，将取消</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响应方的</w:t>
      </w:r>
      <w:r>
        <w:rPr>
          <w:rFonts w:hint="eastAsia" w:ascii="仿宋_GB2312" w:hAnsi="宋体" w:eastAsia="仿宋_GB2312"/>
          <w:bCs/>
          <w:color w:val="auto"/>
          <w:sz w:val="28"/>
          <w:szCs w:val="28"/>
          <w:highlight w:val="none"/>
          <w:lang w:eastAsia="zh-CN"/>
        </w:rPr>
        <w:t>竞争性比选</w:t>
      </w:r>
      <w:r>
        <w:rPr>
          <w:rFonts w:hint="eastAsia" w:ascii="仿宋_GB2312" w:hAnsi="宋体" w:eastAsia="仿宋_GB2312"/>
          <w:bCs/>
          <w:color w:val="auto"/>
          <w:sz w:val="28"/>
          <w:szCs w:val="28"/>
          <w:highlight w:val="none"/>
        </w:rPr>
        <w:t>资格。</w:t>
      </w:r>
    </w:p>
    <w:p>
      <w:pPr>
        <w:pStyle w:val="28"/>
        <w:numPr>
          <w:ilvl w:val="0"/>
          <w:numId w:val="1"/>
        </w:numPr>
        <w:spacing w:line="360" w:lineRule="auto"/>
        <w:ind w:firstLineChars="0"/>
        <w:outlineLvl w:val="1"/>
        <w:rPr>
          <w:rFonts w:ascii="楷体" w:hAnsi="楷体" w:eastAsia="楷体" w:cs="楷体"/>
          <w:color w:val="auto"/>
          <w:sz w:val="28"/>
          <w:szCs w:val="28"/>
          <w:highlight w:val="none"/>
        </w:rPr>
      </w:pPr>
      <w:bookmarkStart w:id="4" w:name="_Toc5629"/>
      <w:r>
        <w:rPr>
          <w:rFonts w:hint="eastAsia" w:ascii="楷体" w:hAnsi="楷体" w:eastAsia="楷体" w:cs="楷体"/>
          <w:color w:val="auto"/>
          <w:sz w:val="28"/>
          <w:szCs w:val="28"/>
          <w:highlight w:val="none"/>
          <w:lang w:eastAsia="zh-CN"/>
        </w:rPr>
        <w:t>竞争性比选</w:t>
      </w:r>
      <w:r>
        <w:rPr>
          <w:rFonts w:hint="eastAsia" w:ascii="楷体" w:hAnsi="楷体" w:eastAsia="楷体" w:cs="楷体"/>
          <w:color w:val="auto"/>
          <w:sz w:val="28"/>
          <w:szCs w:val="28"/>
          <w:highlight w:val="none"/>
        </w:rPr>
        <w:t>方式</w:t>
      </w:r>
      <w:bookmarkEnd w:id="4"/>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lang w:eastAsia="zh-CN"/>
        </w:rPr>
        <w:t>竞争性比选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满足条件最低价</w:t>
      </w:r>
      <w:r>
        <w:rPr>
          <w:rFonts w:hint="eastAsia" w:ascii="仿宋_GB2312" w:hAnsi="宋体" w:eastAsia="仿宋_GB2312"/>
          <w:bCs/>
          <w:color w:val="auto"/>
          <w:sz w:val="28"/>
          <w:szCs w:val="28"/>
          <w:highlight w:val="none"/>
        </w:rPr>
        <w:t>成交，以各供应商不含税报价为依据，请各供应商按照报价要求进行报价。</w:t>
      </w:r>
    </w:p>
    <w:p>
      <w:pPr>
        <w:pStyle w:val="28"/>
        <w:numPr>
          <w:ilvl w:val="0"/>
          <w:numId w:val="1"/>
        </w:numPr>
        <w:spacing w:line="360" w:lineRule="auto"/>
        <w:ind w:firstLineChars="0"/>
        <w:outlineLvl w:val="1"/>
        <w:rPr>
          <w:rFonts w:ascii="楷体" w:hAnsi="楷体" w:eastAsia="楷体" w:cs="楷体"/>
          <w:color w:val="auto"/>
          <w:sz w:val="28"/>
          <w:szCs w:val="28"/>
          <w:highlight w:val="none"/>
        </w:rPr>
      </w:pPr>
      <w:bookmarkStart w:id="5" w:name="_Toc23040"/>
      <w:r>
        <w:rPr>
          <w:rFonts w:hint="eastAsia" w:ascii="楷体" w:hAnsi="楷体" w:eastAsia="楷体" w:cs="楷体"/>
          <w:color w:val="auto"/>
          <w:sz w:val="28"/>
          <w:szCs w:val="28"/>
          <w:highlight w:val="none"/>
        </w:rPr>
        <w:t>成交标准</w:t>
      </w:r>
      <w:bookmarkEnd w:id="5"/>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3.项目重新竞争性比选时，经评审有有效比选人的，应当按规定程序，根据符合采购需求、质量和服务，且以报价最低的原则确定成交候选人。</w:t>
      </w:r>
    </w:p>
    <w:p>
      <w:pPr>
        <w:pStyle w:val="28"/>
        <w:numPr>
          <w:ilvl w:val="0"/>
          <w:numId w:val="1"/>
        </w:numPr>
        <w:spacing w:line="360" w:lineRule="auto"/>
        <w:ind w:firstLineChars="0"/>
        <w:outlineLvl w:val="1"/>
        <w:rPr>
          <w:rFonts w:ascii="楷体" w:hAnsi="楷体" w:eastAsia="楷体" w:cs="楷体"/>
          <w:color w:val="auto"/>
          <w:sz w:val="28"/>
          <w:szCs w:val="28"/>
          <w:highlight w:val="none"/>
        </w:rPr>
      </w:pPr>
      <w:bookmarkStart w:id="6" w:name="_Toc12017"/>
      <w:r>
        <w:rPr>
          <w:rFonts w:hint="eastAsia" w:ascii="楷体" w:hAnsi="楷体" w:eastAsia="楷体" w:cs="楷体"/>
          <w:color w:val="auto"/>
          <w:sz w:val="28"/>
          <w:szCs w:val="28"/>
          <w:highlight w:val="none"/>
        </w:rPr>
        <w:t>其他说明</w:t>
      </w:r>
      <w:bookmarkEnd w:id="6"/>
    </w:p>
    <w:p>
      <w:pPr>
        <w:adjustRightInd w:val="0"/>
        <w:snapToGrid w:val="0"/>
        <w:spacing w:line="360" w:lineRule="auto"/>
        <w:ind w:firstLine="560" w:firstLineChars="200"/>
        <w:outlineLvl w:val="2"/>
        <w:rPr>
          <w:rFonts w:ascii="仿宋_GB2312" w:hAnsi="仿宋" w:eastAsia="仿宋_GB2312"/>
          <w:color w:val="auto"/>
          <w:kern w:val="0"/>
          <w:sz w:val="28"/>
          <w:szCs w:val="28"/>
          <w:highlight w:val="none"/>
        </w:rPr>
      </w:pPr>
      <w:bookmarkStart w:id="7" w:name="_Toc12315"/>
      <w:r>
        <w:rPr>
          <w:rFonts w:hint="eastAsia" w:ascii="仿宋_GB2312" w:hAnsi="仿宋" w:eastAsia="仿宋_GB2312"/>
          <w:color w:val="auto"/>
          <w:kern w:val="0"/>
          <w:sz w:val="28"/>
          <w:szCs w:val="28"/>
          <w:highlight w:val="none"/>
        </w:rPr>
        <w:t>1</w:t>
      </w:r>
      <w:r>
        <w:rPr>
          <w:rFonts w:ascii="仿宋_GB2312" w:hAnsi="仿宋" w:eastAsia="仿宋_GB2312"/>
          <w:color w:val="auto"/>
          <w:kern w:val="0"/>
          <w:sz w:val="28"/>
          <w:szCs w:val="28"/>
          <w:highlight w:val="none"/>
        </w:rPr>
        <w:t>.</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报价须以人民币为单位；</w:t>
      </w:r>
      <w:bookmarkEnd w:id="7"/>
    </w:p>
    <w:p>
      <w:pPr>
        <w:adjustRightInd w:val="0"/>
        <w:snapToGrid w:val="0"/>
        <w:spacing w:line="360" w:lineRule="auto"/>
        <w:ind w:firstLine="562" w:firstLineChars="200"/>
        <w:outlineLvl w:val="2"/>
        <w:rPr>
          <w:rFonts w:ascii="仿宋_GB2312" w:hAnsi="仿宋" w:eastAsia="仿宋_GB2312"/>
          <w:b/>
          <w:color w:val="auto"/>
          <w:kern w:val="0"/>
          <w:sz w:val="28"/>
          <w:szCs w:val="28"/>
          <w:highlight w:val="none"/>
        </w:rPr>
      </w:pPr>
      <w:bookmarkStart w:id="8" w:name="_Toc17370"/>
      <w:r>
        <w:rPr>
          <w:rFonts w:hint="eastAsia" w:ascii="仿宋_GB2312" w:hAnsi="仿宋" w:eastAsia="仿宋_GB2312"/>
          <w:b/>
          <w:color w:val="auto"/>
          <w:kern w:val="0"/>
          <w:sz w:val="28"/>
          <w:szCs w:val="28"/>
          <w:highlight w:val="none"/>
        </w:rPr>
        <w:t>2</w:t>
      </w:r>
      <w:r>
        <w:rPr>
          <w:rFonts w:ascii="仿宋_GB2312" w:hAnsi="仿宋" w:eastAsia="仿宋_GB2312"/>
          <w:b/>
          <w:color w:val="auto"/>
          <w:kern w:val="0"/>
          <w:sz w:val="28"/>
          <w:szCs w:val="28"/>
          <w:highlight w:val="none"/>
        </w:rPr>
        <w:t>.</w:t>
      </w:r>
      <w:r>
        <w:rPr>
          <w:rFonts w:hint="eastAsia" w:ascii="仿宋_GB2312" w:hAnsi="仿宋" w:eastAsia="仿宋_GB2312"/>
          <w:b/>
          <w:color w:val="auto"/>
          <w:kern w:val="0"/>
          <w:sz w:val="28"/>
          <w:szCs w:val="28"/>
          <w:highlight w:val="none"/>
        </w:rPr>
        <w:t>响应</w:t>
      </w:r>
      <w:r>
        <w:rPr>
          <w:rFonts w:ascii="仿宋_GB2312" w:hAnsi="仿宋" w:eastAsia="仿宋_GB2312"/>
          <w:b/>
          <w:color w:val="auto"/>
          <w:kern w:val="0"/>
          <w:sz w:val="28"/>
          <w:szCs w:val="28"/>
          <w:highlight w:val="none"/>
        </w:rPr>
        <w:t>文件中</w:t>
      </w:r>
      <w:r>
        <w:rPr>
          <w:rFonts w:hint="eastAsia" w:ascii="仿宋_GB2312" w:hAnsi="仿宋" w:eastAsia="仿宋_GB2312"/>
          <w:b/>
          <w:color w:val="auto"/>
          <w:kern w:val="0"/>
          <w:sz w:val="28"/>
          <w:szCs w:val="28"/>
          <w:highlight w:val="none"/>
        </w:rPr>
        <w:t>报价须四舍五入</w:t>
      </w:r>
      <w:r>
        <w:rPr>
          <w:rFonts w:ascii="仿宋_GB2312" w:hAnsi="仿宋" w:eastAsia="仿宋_GB2312"/>
          <w:b/>
          <w:color w:val="auto"/>
          <w:kern w:val="0"/>
          <w:sz w:val="28"/>
          <w:szCs w:val="28"/>
          <w:highlight w:val="none"/>
        </w:rPr>
        <w:t>保留到</w:t>
      </w:r>
      <w:r>
        <w:rPr>
          <w:rFonts w:hint="eastAsia" w:ascii="仿宋_GB2312" w:hAnsi="仿宋" w:eastAsia="仿宋_GB2312"/>
          <w:b/>
          <w:color w:val="auto"/>
          <w:kern w:val="0"/>
          <w:sz w:val="28"/>
          <w:szCs w:val="28"/>
          <w:highlight w:val="none"/>
        </w:rPr>
        <w:t>“</w:t>
      </w:r>
      <w:r>
        <w:rPr>
          <w:rFonts w:ascii="仿宋_GB2312" w:hAnsi="仿宋" w:eastAsia="仿宋_GB2312"/>
          <w:b/>
          <w:color w:val="auto"/>
          <w:kern w:val="0"/>
          <w:sz w:val="28"/>
          <w:szCs w:val="28"/>
          <w:highlight w:val="none"/>
        </w:rPr>
        <w:t>分</w:t>
      </w:r>
      <w:r>
        <w:rPr>
          <w:rFonts w:hint="eastAsia" w:ascii="仿宋_GB2312" w:hAnsi="仿宋" w:eastAsia="仿宋_GB2312"/>
          <w:b/>
          <w:color w:val="auto"/>
          <w:kern w:val="0"/>
          <w:sz w:val="28"/>
          <w:szCs w:val="28"/>
          <w:highlight w:val="none"/>
        </w:rPr>
        <w:t>”；</w:t>
      </w:r>
      <w:bookmarkEnd w:id="8"/>
    </w:p>
    <w:p>
      <w:pPr>
        <w:adjustRightInd w:val="0"/>
        <w:snapToGrid w:val="0"/>
        <w:spacing w:line="360" w:lineRule="auto"/>
        <w:ind w:firstLine="560" w:firstLineChars="200"/>
        <w:outlineLvl w:val="2"/>
        <w:rPr>
          <w:rFonts w:hint="eastAsia" w:ascii="仿宋_GB2312" w:hAnsi="仿宋" w:eastAsia="仿宋_GB2312"/>
          <w:color w:val="auto"/>
          <w:kern w:val="0"/>
          <w:sz w:val="28"/>
          <w:szCs w:val="28"/>
          <w:highlight w:val="none"/>
          <w:lang w:eastAsia="zh-CN"/>
        </w:rPr>
      </w:pPr>
      <w:bookmarkStart w:id="9" w:name="_Toc15705"/>
      <w:r>
        <w:rPr>
          <w:rFonts w:ascii="仿宋_GB2312" w:hAnsi="仿宋" w:eastAsia="仿宋_GB2312"/>
          <w:color w:val="auto"/>
          <w:kern w:val="0"/>
          <w:sz w:val="28"/>
          <w:szCs w:val="28"/>
          <w:highlight w:val="none"/>
        </w:rPr>
        <w:t>3.</w:t>
      </w:r>
      <w:r>
        <w:rPr>
          <w:rFonts w:hint="eastAsia" w:ascii="仿宋_GB2312" w:hAnsi="仿宋" w:eastAsia="仿宋_GB2312"/>
          <w:color w:val="auto"/>
          <w:kern w:val="0"/>
          <w:sz w:val="28"/>
          <w:szCs w:val="28"/>
          <w:highlight w:val="none"/>
        </w:rPr>
        <w:t>响应</w:t>
      </w:r>
      <w:r>
        <w:rPr>
          <w:rFonts w:ascii="仿宋_GB2312" w:hAnsi="仿宋" w:eastAsia="仿宋_GB2312"/>
          <w:color w:val="auto"/>
          <w:kern w:val="0"/>
          <w:sz w:val="28"/>
          <w:szCs w:val="28"/>
          <w:highlight w:val="none"/>
        </w:rPr>
        <w:t>文件中</w:t>
      </w:r>
      <w:r>
        <w:rPr>
          <w:rFonts w:hint="eastAsia" w:ascii="仿宋_GB2312" w:hAnsi="仿宋" w:eastAsia="仿宋_GB2312"/>
          <w:color w:val="auto"/>
          <w:kern w:val="0"/>
          <w:sz w:val="28"/>
          <w:szCs w:val="28"/>
          <w:highlight w:val="none"/>
        </w:rPr>
        <w:t>报价需同时填写报价金额的大写和小写，两者不一致的以大写金额为准</w:t>
      </w:r>
      <w:bookmarkEnd w:id="9"/>
      <w:r>
        <w:rPr>
          <w:rFonts w:hint="eastAsia" w:ascii="仿宋_GB2312" w:hAnsi="仿宋" w:eastAsia="仿宋_GB2312"/>
          <w:color w:val="auto"/>
          <w:kern w:val="0"/>
          <w:sz w:val="28"/>
          <w:szCs w:val="28"/>
          <w:highlight w:val="none"/>
          <w:lang w:eastAsia="zh-CN"/>
        </w:rPr>
        <w:t>。</w:t>
      </w:r>
    </w:p>
    <w:p>
      <w:pPr>
        <w:adjustRightInd w:val="0"/>
        <w:snapToGrid w:val="0"/>
        <w:ind w:firstLine="560" w:firstLineChars="200"/>
        <w:rPr>
          <w:rFonts w:hint="eastAsia"/>
          <w:color w:val="auto"/>
          <w:highlight w:val="none"/>
          <w:lang w:eastAsia="zh-CN"/>
        </w:rPr>
      </w:pPr>
      <w:r>
        <w:rPr>
          <w:rFonts w:hint="eastAsia" w:ascii="仿宋_GB2312" w:hAnsi="仿宋" w:eastAsia="仿宋_GB2312"/>
          <w:color w:val="auto"/>
          <w:kern w:val="0"/>
          <w:sz w:val="28"/>
          <w:szCs w:val="28"/>
          <w:highlight w:val="none"/>
          <w:lang w:val="en-US" w:eastAsia="zh-CN"/>
        </w:rPr>
        <w:t>4.响应文件中不含增值税报价与含增值税报价不一致时，以价低者为准。</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0" w:name="_Toc2389_WPSOffice_Level1"/>
      <w:bookmarkStart w:id="11" w:name="_Toc856"/>
      <w:r>
        <w:rPr>
          <w:rFonts w:hint="eastAsia" w:ascii="仿宋" w:hAnsi="仿宋" w:eastAsia="仿宋"/>
          <w:b/>
          <w:bCs/>
          <w:color w:val="auto"/>
          <w:kern w:val="0"/>
          <w:sz w:val="28"/>
          <w:szCs w:val="28"/>
          <w:highlight w:val="none"/>
          <w:lang w:val="en-US" w:eastAsia="zh-CN"/>
        </w:rPr>
        <w:t>六、</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文件发售的时间、地点</w:t>
      </w:r>
      <w:bookmarkEnd w:id="10"/>
      <w:bookmarkEnd w:id="11"/>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 xml:space="preserve"> 月</w:t>
      </w:r>
      <w:r>
        <w:rPr>
          <w:rFonts w:hint="eastAsia" w:ascii="仿宋" w:hAnsi="仿宋" w:eastAsia="仿宋"/>
          <w:color w:val="auto"/>
          <w:sz w:val="28"/>
          <w:szCs w:val="28"/>
          <w:highlight w:val="none"/>
          <w:u w:val="single"/>
          <w:lang w:val="en-US" w:eastAsia="zh-CN"/>
        </w:rPr>
        <w:t>16</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ascii="仿宋" w:hAnsi="仿宋" w:eastAsia="仿宋"/>
          <w:color w:val="auto"/>
          <w:sz w:val="28"/>
          <w:szCs w:val="28"/>
          <w:highlight w:val="none"/>
          <w:u w:val="single"/>
        </w:rPr>
        <w:t>09</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30-</w:t>
      </w:r>
      <w:r>
        <w:rPr>
          <w:rFonts w:hint="eastAsia" w:ascii="仿宋" w:hAnsi="仿宋" w:eastAsia="仿宋"/>
          <w:color w:val="auto"/>
          <w:sz w:val="28"/>
          <w:szCs w:val="28"/>
          <w:highlight w:val="none"/>
          <w:u w:val="single"/>
        </w:rPr>
        <w:t>16:</w:t>
      </w:r>
      <w:r>
        <w:rPr>
          <w:rFonts w:ascii="仿宋" w:hAnsi="仿宋" w:eastAsia="仿宋"/>
          <w:color w:val="auto"/>
          <w:sz w:val="28"/>
          <w:szCs w:val="28"/>
          <w:highlight w:val="none"/>
          <w:u w:val="single"/>
        </w:rPr>
        <w:t>00</w:t>
      </w:r>
      <w:r>
        <w:rPr>
          <w:rFonts w:hint="eastAsia" w:ascii="仿宋" w:hAnsi="仿宋" w:eastAsia="仿宋"/>
          <w:color w:val="auto"/>
          <w:sz w:val="28"/>
          <w:szCs w:val="28"/>
          <w:highlight w:val="none"/>
        </w:rPr>
        <w:t>时，在重庆机场集团有限公司动力能源保障部采购办公室（机场东路3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号）发放。</w:t>
      </w:r>
    </w:p>
    <w:p>
      <w:pPr>
        <w:snapToGrid w:val="0"/>
        <w:spacing w:line="360" w:lineRule="auto"/>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u w:val="single"/>
        </w:rPr>
        <w:t>2</w:t>
      </w:r>
      <w:r>
        <w:rPr>
          <w:rFonts w:ascii="仿宋_GB2312" w:hAnsi="宋体" w:eastAsia="仿宋_GB2312"/>
          <w:b/>
          <w:color w:val="auto"/>
          <w:sz w:val="28"/>
          <w:szCs w:val="28"/>
          <w:highlight w:val="none"/>
          <w:u w:val="single"/>
        </w:rPr>
        <w:t>0</w:t>
      </w:r>
      <w:r>
        <w:rPr>
          <w:rFonts w:hint="eastAsia" w:ascii="仿宋_GB2312" w:hAnsi="宋体" w:eastAsia="仿宋_GB2312"/>
          <w:b/>
          <w:color w:val="auto"/>
          <w:sz w:val="28"/>
          <w:szCs w:val="28"/>
          <w:highlight w:val="none"/>
          <w:u w:val="single"/>
          <w:lang w:val="en-US" w:eastAsia="zh-CN"/>
        </w:rPr>
        <w:t>21</w:t>
      </w:r>
      <w:r>
        <w:rPr>
          <w:rFonts w:hint="eastAsia" w:ascii="仿宋_GB2312" w:hAnsi="宋体" w:eastAsia="仿宋_GB2312"/>
          <w:b/>
          <w:color w:val="auto"/>
          <w:sz w:val="28"/>
          <w:szCs w:val="28"/>
          <w:highlight w:val="none"/>
          <w:u w:val="single"/>
        </w:rPr>
        <w:t xml:space="preserve">年 </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lang w:val="en-US" w:eastAsia="zh-CN"/>
        </w:rPr>
        <w:t>4</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rPr>
        <w:t xml:space="preserve">月 </w:t>
      </w:r>
      <w:r>
        <w:rPr>
          <w:rFonts w:hint="eastAsia" w:ascii="仿宋_GB2312" w:hAnsi="宋体" w:eastAsia="仿宋_GB2312"/>
          <w:b/>
          <w:color w:val="auto"/>
          <w:sz w:val="28"/>
          <w:szCs w:val="28"/>
          <w:highlight w:val="none"/>
          <w:u w:val="single"/>
          <w:lang w:val="en-US" w:eastAsia="zh-CN"/>
        </w:rPr>
        <w:t>19</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rPr>
        <w:t>日</w:t>
      </w:r>
      <w:r>
        <w:rPr>
          <w:rFonts w:hint="eastAsia" w:ascii="仿宋_GB2312" w:hAnsi="宋体" w:eastAsia="仿宋_GB2312"/>
          <w:b/>
          <w:color w:val="auto"/>
          <w:sz w:val="28"/>
          <w:szCs w:val="28"/>
          <w:highlight w:val="none"/>
          <w:u w:val="single"/>
          <w:lang w:val="en-US" w:eastAsia="zh-CN"/>
        </w:rPr>
        <w:t>10:00</w:t>
      </w:r>
      <w:r>
        <w:rPr>
          <w:rFonts w:hint="eastAsia" w:ascii="仿宋_GB2312" w:hAnsi="宋体" w:eastAsia="仿宋_GB2312"/>
          <w:b/>
          <w:color w:val="auto"/>
          <w:sz w:val="28"/>
          <w:szCs w:val="28"/>
          <w:highlight w:val="none"/>
          <w:u w:val="single"/>
        </w:rPr>
        <w:t xml:space="preserve"> </w:t>
      </w:r>
      <w:r>
        <w:rPr>
          <w:rFonts w:ascii="仿宋_GB2312" w:hAnsi="宋体" w:eastAsia="仿宋_GB2312"/>
          <w:b/>
          <w:color w:val="auto"/>
          <w:sz w:val="28"/>
          <w:szCs w:val="28"/>
          <w:highlight w:val="none"/>
          <w:u w:val="single"/>
        </w:rPr>
        <w:t xml:space="preserve">  </w:t>
      </w:r>
      <w:r>
        <w:rPr>
          <w:rFonts w:hint="eastAsia" w:ascii="仿宋_GB2312" w:hAnsi="宋体" w:eastAsia="仿宋_GB2312"/>
          <w:b/>
          <w:color w:val="auto"/>
          <w:sz w:val="28"/>
          <w:szCs w:val="28"/>
          <w:highlight w:val="none"/>
          <w:u w:val="single"/>
        </w:rPr>
        <w:t>时</w:t>
      </w:r>
      <w:r>
        <w:rPr>
          <w:rFonts w:hint="eastAsia" w:ascii="仿宋_GB2312" w:hAnsi="宋体" w:eastAsia="仿宋_GB2312"/>
          <w:b/>
          <w:color w:val="auto"/>
          <w:sz w:val="28"/>
          <w:szCs w:val="28"/>
          <w:highlight w:val="none"/>
        </w:rPr>
        <w:t>踏勘现场。（无论报价单位是否踏勘，报价一经递交，均视为已踏勘）。</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2" w:name="_Toc22802_WPSOffice_Level1"/>
      <w:bookmarkStart w:id="13" w:name="_Toc26586"/>
      <w:r>
        <w:rPr>
          <w:rFonts w:hint="eastAsia" w:ascii="仿宋" w:hAnsi="仿宋" w:eastAsia="仿宋"/>
          <w:b/>
          <w:bCs/>
          <w:color w:val="auto"/>
          <w:kern w:val="0"/>
          <w:sz w:val="28"/>
          <w:szCs w:val="28"/>
          <w:highlight w:val="none"/>
          <w:lang w:val="en-US" w:eastAsia="zh-CN"/>
        </w:rPr>
        <w:t>七、</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有效期：</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u w:val="single"/>
          <w:lang w:val="en-US" w:eastAsia="zh-CN"/>
        </w:rPr>
        <w:t xml:space="preserve">90 </w:t>
      </w:r>
      <w:r>
        <w:rPr>
          <w:rFonts w:hint="eastAsia" w:ascii="仿宋" w:hAnsi="仿宋" w:eastAsia="仿宋"/>
          <w:b/>
          <w:bCs/>
          <w:color w:val="auto"/>
          <w:kern w:val="0"/>
          <w:sz w:val="28"/>
          <w:szCs w:val="28"/>
          <w:highlight w:val="none"/>
          <w:u w:val="single"/>
        </w:rPr>
        <w:t xml:space="preserve"> </w:t>
      </w:r>
      <w:r>
        <w:rPr>
          <w:rFonts w:hint="eastAsia" w:ascii="仿宋" w:hAnsi="仿宋" w:eastAsia="仿宋"/>
          <w:b/>
          <w:bCs/>
          <w:color w:val="auto"/>
          <w:kern w:val="0"/>
          <w:sz w:val="28"/>
          <w:szCs w:val="28"/>
          <w:highlight w:val="none"/>
        </w:rPr>
        <w:t>日历天（根据实际需求确定）</w:t>
      </w:r>
      <w:bookmarkEnd w:id="12"/>
      <w:bookmarkEnd w:id="13"/>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4" w:name="_Toc25103_WPSOffice_Level1"/>
      <w:bookmarkStart w:id="15" w:name="_Toc27908"/>
      <w:r>
        <w:rPr>
          <w:rFonts w:hint="eastAsia" w:ascii="仿宋" w:hAnsi="仿宋" w:eastAsia="仿宋"/>
          <w:b/>
          <w:bCs/>
          <w:color w:val="auto"/>
          <w:kern w:val="0"/>
          <w:sz w:val="28"/>
          <w:szCs w:val="28"/>
          <w:highlight w:val="none"/>
          <w:lang w:val="en-US" w:eastAsia="zh-CN"/>
        </w:rPr>
        <w:t>八、</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时间、地点及结果通知</w:t>
      </w:r>
      <w:bookmarkEnd w:id="14"/>
      <w:bookmarkEnd w:id="15"/>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ascii="仿宋" w:hAnsi="仿宋" w:eastAsia="仿宋"/>
          <w:color w:val="auto"/>
          <w:sz w:val="28"/>
          <w:szCs w:val="28"/>
          <w:highlight w:val="none"/>
        </w:rPr>
        <w:t>1.</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21</w:t>
      </w:r>
      <w:r>
        <w:rPr>
          <w:rFonts w:hint="eastAsia" w:ascii="仿宋" w:hAnsi="仿宋" w:eastAsia="仿宋"/>
          <w:color w:val="auto"/>
          <w:sz w:val="28"/>
          <w:szCs w:val="28"/>
          <w:highlight w:val="none"/>
          <w:u w:val="single"/>
        </w:rPr>
        <w:t xml:space="preserve">年 </w:t>
      </w:r>
      <w:r>
        <w:rPr>
          <w:rFonts w:hint="eastAsia" w:ascii="仿宋" w:hAnsi="仿宋" w:eastAsia="仿宋"/>
          <w:color w:val="auto"/>
          <w:sz w:val="28"/>
          <w:szCs w:val="28"/>
          <w:highlight w:val="none"/>
          <w:u w:val="single"/>
          <w:lang w:val="en-US" w:eastAsia="zh-CN"/>
        </w:rPr>
        <w:t>4</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22</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10:00</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时在重庆机场集团公司动力能源保障部（机场东路3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响应单位需提前10分钟到场并签到，若截止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snapToGrid w:val="0"/>
        <w:spacing w:line="360" w:lineRule="auto"/>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结果时间：待</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结果确定后会及时通知，原则上只通知被选中的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。对未被选中的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不通知、不解释。若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adjustRightInd w:val="0"/>
        <w:snapToGrid w:val="0"/>
        <w:spacing w:line="360" w:lineRule="auto"/>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lang w:val="en-US" w:eastAsia="zh-CN"/>
        </w:rPr>
        <w:t>九</w:t>
      </w:r>
      <w:r>
        <w:rPr>
          <w:rFonts w:hint="eastAsia" w:ascii="仿宋" w:hAnsi="仿宋" w:eastAsia="仿宋"/>
          <w:b/>
          <w:color w:val="auto"/>
          <w:kern w:val="0"/>
          <w:sz w:val="28"/>
          <w:szCs w:val="28"/>
          <w:highlight w:val="none"/>
        </w:rPr>
        <w:t>、</w:t>
      </w:r>
      <w:bookmarkStart w:id="16" w:name="_Toc741"/>
      <w:bookmarkStart w:id="17" w:name="_Toc21232_WPSOffice_Level1"/>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保证金及履约保证金</w:t>
      </w:r>
      <w:bookmarkEnd w:id="16"/>
      <w:bookmarkEnd w:id="17"/>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履约保证金：成交的供应商在签订合同前向甲方交纳履约保证金</w:t>
      </w:r>
      <w:r>
        <w:rPr>
          <w:rFonts w:hint="eastAsia" w:ascii="仿宋" w:hAnsi="仿宋" w:eastAsia="仿宋"/>
          <w:color w:val="auto"/>
          <w:sz w:val="28"/>
          <w:szCs w:val="28"/>
          <w:highlight w:val="none"/>
          <w:lang w:val="en-US" w:eastAsia="zh-CN"/>
        </w:rPr>
        <w:t>20000元</w:t>
      </w:r>
      <w:r>
        <w:rPr>
          <w:rFonts w:hint="eastAsia" w:ascii="仿宋" w:hAnsi="仿宋" w:eastAsia="仿宋"/>
          <w:color w:val="auto"/>
          <w:sz w:val="28"/>
          <w:szCs w:val="28"/>
          <w:highlight w:val="none"/>
        </w:rPr>
        <w:t>，开户行：建行渝北机场支行，帐号</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18" w:name="_Toc22742"/>
      <w:bookmarkStart w:id="19" w:name="_Toc16243_WPSOffice_Level1"/>
      <w:r>
        <w:rPr>
          <w:rFonts w:hint="eastAsia" w:ascii="仿宋" w:hAnsi="仿宋" w:eastAsia="仿宋"/>
          <w:b/>
          <w:bCs/>
          <w:color w:val="auto"/>
          <w:kern w:val="0"/>
          <w:sz w:val="28"/>
          <w:szCs w:val="28"/>
          <w:highlight w:val="none"/>
          <w:lang w:val="en-US" w:eastAsia="zh-CN"/>
        </w:rPr>
        <w:t>十、</w:t>
      </w:r>
      <w:r>
        <w:rPr>
          <w:rFonts w:hint="eastAsia" w:ascii="仿宋" w:hAnsi="仿宋" w:eastAsia="仿宋"/>
          <w:b/>
          <w:bCs/>
          <w:color w:val="auto"/>
          <w:kern w:val="0"/>
          <w:sz w:val="28"/>
          <w:szCs w:val="28"/>
          <w:highlight w:val="none"/>
        </w:rPr>
        <w:t>报价及响应</w:t>
      </w:r>
      <w:r>
        <w:rPr>
          <w:rFonts w:ascii="仿宋" w:hAnsi="仿宋" w:eastAsia="仿宋"/>
          <w:b/>
          <w:bCs/>
          <w:color w:val="auto"/>
          <w:kern w:val="0"/>
          <w:sz w:val="28"/>
          <w:szCs w:val="28"/>
          <w:highlight w:val="none"/>
        </w:rPr>
        <w:t>文件编制</w:t>
      </w:r>
      <w:r>
        <w:rPr>
          <w:rFonts w:hint="eastAsia" w:ascii="仿宋" w:hAnsi="仿宋" w:eastAsia="仿宋"/>
          <w:b/>
          <w:bCs/>
          <w:color w:val="auto"/>
          <w:kern w:val="0"/>
          <w:sz w:val="28"/>
          <w:szCs w:val="28"/>
          <w:highlight w:val="none"/>
        </w:rPr>
        <w:t>要求</w:t>
      </w:r>
      <w:bookmarkEnd w:id="18"/>
      <w:bookmarkEnd w:id="19"/>
    </w:p>
    <w:p>
      <w:pPr>
        <w:numPr>
          <w:ilvl w:val="0"/>
          <w:numId w:val="2"/>
        </w:num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供应商应当按照比选文件的要求编制报价文件，报价文件应当对比选文件提出的要求和条件作出实质性应答。</w:t>
      </w:r>
    </w:p>
    <w:p>
      <w:pPr>
        <w:numPr>
          <w:ilvl w:val="0"/>
          <w:numId w:val="2"/>
        </w:numPr>
        <w:snapToGrid w:val="0"/>
        <w:spacing w:line="360" w:lineRule="auto"/>
        <w:ind w:firstLine="539"/>
        <w:rPr>
          <w:rFonts w:hint="eastAsia" w:ascii="仿宋_GB2312" w:hAnsi="宋体" w:eastAsia="仿宋_GB2312"/>
          <w:color w:val="auto"/>
          <w:sz w:val="28"/>
          <w:szCs w:val="28"/>
          <w:highlight w:val="none"/>
        </w:rPr>
      </w:pPr>
      <w:r>
        <w:rPr>
          <w:rFonts w:hint="eastAsia" w:ascii="仿宋" w:hAnsi="仿宋" w:eastAsia="仿宋" w:cs="楷体"/>
          <w:color w:val="auto"/>
          <w:sz w:val="28"/>
          <w:szCs w:val="28"/>
          <w:highlight w:val="none"/>
        </w:rPr>
        <w:t>报价应是本</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文件所确定的全部工作内容的价格体现，报价一次性全额包干、包死，参与</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的承包人报价时须充分考虑人工及材料的涨价因素及履行本项目合同有关的其他风险</w:t>
      </w:r>
      <w:r>
        <w:rPr>
          <w:rFonts w:hint="eastAsia" w:ascii="仿宋" w:hAnsi="仿宋" w:eastAsia="仿宋" w:cs="楷体"/>
          <w:color w:val="auto"/>
          <w:sz w:val="28"/>
          <w:szCs w:val="28"/>
          <w:highlight w:val="none"/>
          <w:lang w:eastAsia="zh-CN"/>
        </w:rPr>
        <w:t>。</w:t>
      </w:r>
    </w:p>
    <w:p>
      <w:pPr>
        <w:pStyle w:val="28"/>
        <w:numPr>
          <w:ilvl w:val="0"/>
          <w:numId w:val="0"/>
        </w:numPr>
        <w:spacing w:line="360" w:lineRule="auto"/>
        <w:ind w:firstLine="560" w:firstLineChars="200"/>
        <w:rPr>
          <w:rFonts w:ascii="仿宋" w:hAnsi="仿宋" w:eastAsia="仿宋" w:cs="楷体"/>
          <w:color w:val="auto"/>
          <w:sz w:val="28"/>
          <w:szCs w:val="28"/>
          <w:highlight w:val="none"/>
        </w:rPr>
      </w:pPr>
      <w:r>
        <w:rPr>
          <w:rFonts w:hint="eastAsia" w:ascii="仿宋" w:hAnsi="仿宋" w:eastAsia="仿宋" w:cs="楷体"/>
          <w:color w:val="auto"/>
          <w:sz w:val="28"/>
          <w:szCs w:val="28"/>
          <w:highlight w:val="none"/>
          <w:lang w:eastAsia="zh-CN"/>
        </w:rPr>
        <w:t>（</w:t>
      </w:r>
      <w:r>
        <w:rPr>
          <w:rFonts w:hint="eastAsia" w:ascii="仿宋" w:hAnsi="仿宋" w:eastAsia="仿宋" w:cs="楷体"/>
          <w:color w:val="auto"/>
          <w:sz w:val="28"/>
          <w:szCs w:val="28"/>
          <w:highlight w:val="none"/>
          <w:lang w:val="en-US" w:eastAsia="zh-CN"/>
        </w:rPr>
        <w:t>三</w:t>
      </w:r>
      <w:r>
        <w:rPr>
          <w:rFonts w:hint="eastAsia" w:ascii="仿宋" w:hAnsi="仿宋" w:eastAsia="仿宋" w:cs="楷体"/>
          <w:color w:val="auto"/>
          <w:sz w:val="28"/>
          <w:szCs w:val="28"/>
          <w:highlight w:val="none"/>
          <w:lang w:eastAsia="zh-CN"/>
        </w:rPr>
        <w:t>）竞争性比选</w:t>
      </w:r>
      <w:r>
        <w:rPr>
          <w:rFonts w:hint="eastAsia" w:ascii="仿宋" w:hAnsi="仿宋" w:eastAsia="仿宋" w:cs="楷体"/>
          <w:color w:val="auto"/>
          <w:sz w:val="28"/>
          <w:szCs w:val="28"/>
          <w:highlight w:val="none"/>
        </w:rPr>
        <w:t>响应文件的编制和提交：</w:t>
      </w:r>
    </w:p>
    <w:p>
      <w:pPr>
        <w:autoSpaceDE w:val="0"/>
        <w:autoSpaceDN w:val="0"/>
        <w:adjustRightInd w:val="0"/>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响应文件应用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.封面。</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2.</w:t>
      </w:r>
      <w:r>
        <w:rPr>
          <w:rFonts w:hint="eastAsia" w:ascii="仿宋_GB2312" w:eastAsia="仿宋_GB2312"/>
          <w:color w:val="auto"/>
          <w:sz w:val="28"/>
          <w:szCs w:val="28"/>
          <w:highlight w:val="none"/>
          <w:lang w:val="zh-CN"/>
        </w:rPr>
        <w:t>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的报价函及声明</w:t>
      </w:r>
      <w:r>
        <w:rPr>
          <w:rFonts w:hint="eastAsia" w:ascii="仿宋_GB2312" w:hAnsi="宋体" w:eastAsia="仿宋_GB2312"/>
          <w:color w:val="auto"/>
          <w:sz w:val="28"/>
          <w:szCs w:val="28"/>
          <w:highlight w:val="none"/>
        </w:rPr>
        <w:t>。</w:t>
      </w:r>
    </w:p>
    <w:p>
      <w:pPr>
        <w:snapToGrid w:val="0"/>
        <w:spacing w:line="360" w:lineRule="auto"/>
        <w:ind w:firstLine="539"/>
        <w:rPr>
          <w:rFonts w:hint="eastAsia" w:ascii="仿宋_GB2312" w:hAnsi="宋体"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b w:val="0"/>
          <w:bCs w:val="0"/>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highlight w:val="none"/>
        </w:rPr>
        <w:t>（根据实际需求确定）</w:t>
      </w:r>
    </w:p>
    <w:p>
      <w:pPr>
        <w:snapToGrid w:val="0"/>
        <w:spacing w:line="360" w:lineRule="auto"/>
        <w:ind w:firstLine="539"/>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报价部分</w:t>
      </w:r>
      <w:r>
        <w:rPr>
          <w:rFonts w:hint="eastAsia" w:ascii="仿宋_GB2312" w:hAnsi="宋体" w:eastAsia="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zh-CN"/>
        </w:rPr>
        <w:t>竞争性比选响应方应按照竞争性比选采购文件要求报出拟提供服务的单价、总价、相关税金等详细内容</w:t>
      </w:r>
      <w:r>
        <w:rPr>
          <w:rFonts w:hint="eastAsia" w:ascii="仿宋" w:hAnsi="仿宋" w:eastAsia="仿宋"/>
          <w:b/>
          <w:bCs/>
          <w:color w:val="auto"/>
          <w:kern w:val="0"/>
          <w:sz w:val="28"/>
          <w:szCs w:val="28"/>
          <w:highlight w:val="none"/>
        </w:rPr>
        <w:t>（根据实际需求确定）</w:t>
      </w:r>
      <w:r>
        <w:rPr>
          <w:rFonts w:hint="eastAsia" w:ascii="仿宋_GB2312" w:hAnsi="仿宋_GB2312" w:eastAsia="仿宋_GB2312" w:cs="仿宋_GB2312"/>
          <w:b w:val="0"/>
          <w:bCs w:val="0"/>
          <w:color w:val="auto"/>
          <w:sz w:val="28"/>
          <w:szCs w:val="28"/>
          <w:highlight w:val="none"/>
          <w:lang w:val="zh-CN"/>
        </w:rPr>
        <w:t>，报价为不含税报价，增值税税率单列。</w:t>
      </w:r>
      <w:r>
        <w:rPr>
          <w:rFonts w:hint="eastAsia" w:ascii="仿宋_GB2312" w:hAnsi="仿宋_GB2312" w:eastAsia="仿宋_GB2312" w:cs="仿宋_GB2312"/>
          <w:b/>
          <w:bCs/>
          <w:color w:val="auto"/>
          <w:sz w:val="28"/>
          <w:szCs w:val="28"/>
          <w:highlight w:val="none"/>
          <w:lang w:val="zh-CN"/>
        </w:rPr>
        <w:t>（表格</w:t>
      </w:r>
      <w:r>
        <w:rPr>
          <w:rFonts w:ascii="仿宋_GB2312" w:hAnsi="仿宋_GB2312" w:eastAsia="仿宋_GB2312" w:cs="仿宋_GB2312"/>
          <w:b/>
          <w:bCs/>
          <w:color w:val="auto"/>
          <w:sz w:val="28"/>
          <w:szCs w:val="28"/>
          <w:highlight w:val="none"/>
          <w:lang w:val="zh-CN"/>
        </w:rPr>
        <w:t>自制</w:t>
      </w:r>
      <w:r>
        <w:rPr>
          <w:rFonts w:hint="eastAsia" w:ascii="仿宋_GB2312" w:hAnsi="宋体" w:eastAsia="仿宋_GB2312"/>
          <w:b/>
          <w:bCs/>
          <w:color w:val="auto"/>
          <w:sz w:val="28"/>
          <w:szCs w:val="28"/>
          <w:highlight w:val="none"/>
        </w:rPr>
        <w:t>）</w:t>
      </w:r>
    </w:p>
    <w:p>
      <w:pPr>
        <w:snapToGrid w:val="0"/>
        <w:spacing w:line="360" w:lineRule="auto"/>
        <w:ind w:firstLine="539"/>
        <w:rPr>
          <w:rFonts w:hint="eastAsia" w:ascii="仿宋" w:hAnsi="仿宋" w:eastAsia="仿宋"/>
          <w:b/>
          <w:bCs/>
          <w:color w:val="auto"/>
          <w:kern w:val="0"/>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商务部分</w:t>
      </w:r>
      <w:r>
        <w:rPr>
          <w:rFonts w:hint="eastAsia" w:ascii="仿宋_GB2312" w:hAnsi="宋体" w:eastAsia="仿宋_GB2312"/>
          <w:color w:val="auto"/>
          <w:sz w:val="28"/>
          <w:szCs w:val="28"/>
          <w:highlight w:val="none"/>
          <w:lang w:eastAsia="zh-CN"/>
        </w:rPr>
        <w:t>：</w:t>
      </w:r>
      <w:r>
        <w:rPr>
          <w:rFonts w:hint="eastAsia" w:ascii="仿宋" w:hAnsi="仿宋" w:eastAsia="仿宋"/>
          <w:b/>
          <w:bCs/>
          <w:color w:val="auto"/>
          <w:kern w:val="0"/>
          <w:sz w:val="28"/>
          <w:szCs w:val="28"/>
          <w:highlight w:val="none"/>
        </w:rPr>
        <w:t>（根据实际需求确定）</w:t>
      </w:r>
    </w:p>
    <w:p>
      <w:pPr>
        <w:snapToGrid w:val="0"/>
        <w:spacing w:line="360" w:lineRule="auto"/>
        <w:ind w:firstLine="560" w:firstLineChars="200"/>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（1）必备</w:t>
      </w:r>
      <w:r>
        <w:rPr>
          <w:rFonts w:ascii="仿宋_GB2312" w:eastAsia="仿宋_GB2312"/>
          <w:color w:val="auto"/>
          <w:sz w:val="28"/>
          <w:szCs w:val="28"/>
          <w:highlight w:val="none"/>
          <w:lang w:val="zh-CN"/>
        </w:rPr>
        <w:t>资料：</w:t>
      </w:r>
      <w:r>
        <w:rPr>
          <w:rFonts w:hint="eastAsia" w:ascii="仿宋" w:hAnsi="仿宋" w:eastAsia="仿宋"/>
          <w:color w:val="auto"/>
          <w:sz w:val="28"/>
          <w:szCs w:val="28"/>
          <w:highlight w:val="none"/>
          <w:lang w:val="zh-CN"/>
        </w:rPr>
        <w:t>主要包括三证合一的营业执照（复印件），法人代表委托书（原件）、</w:t>
      </w:r>
      <w:r>
        <w:rPr>
          <w:rFonts w:hint="eastAsia" w:ascii="仿宋" w:hAnsi="仿宋" w:eastAsia="仿宋"/>
          <w:color w:val="auto"/>
          <w:sz w:val="28"/>
          <w:szCs w:val="28"/>
          <w:highlight w:val="none"/>
          <w:lang w:val="en-US" w:eastAsia="zh-CN"/>
        </w:rPr>
        <w:t>特种设备锅炉化学清洗资质证书</w:t>
      </w:r>
      <w:r>
        <w:rPr>
          <w:rFonts w:hint="eastAsia" w:ascii="仿宋" w:hAnsi="仿宋" w:eastAsia="仿宋"/>
          <w:color w:val="auto"/>
          <w:sz w:val="28"/>
          <w:szCs w:val="28"/>
          <w:highlight w:val="none"/>
          <w:lang w:val="zh-CN" w:eastAsia="zh-CN"/>
        </w:rPr>
        <w:t>（复印件）</w:t>
      </w:r>
      <w:r>
        <w:rPr>
          <w:rFonts w:ascii="仿宋" w:hAnsi="仿宋" w:eastAsia="仿宋"/>
          <w:color w:val="auto"/>
          <w:sz w:val="28"/>
          <w:szCs w:val="28"/>
          <w:highlight w:val="none"/>
          <w:lang w:val="zh-CN"/>
        </w:rPr>
        <w:t>、</w:t>
      </w:r>
      <w:r>
        <w:rPr>
          <w:rFonts w:hint="eastAsia" w:ascii="仿宋" w:hAnsi="仿宋" w:eastAsia="仿宋"/>
          <w:color w:val="auto"/>
          <w:sz w:val="28"/>
          <w:szCs w:val="28"/>
          <w:highlight w:val="none"/>
          <w:lang w:val="en-US" w:eastAsia="zh-CN"/>
        </w:rPr>
        <w:t>对应作业人员锅炉司炉证、焊接与热切割作业证和低压电工证（复印件）</w:t>
      </w:r>
      <w:r>
        <w:rPr>
          <w:rFonts w:hint="eastAsia" w:ascii="仿宋" w:hAnsi="仿宋" w:eastAsia="仿宋"/>
          <w:color w:val="auto"/>
          <w:sz w:val="28"/>
          <w:szCs w:val="28"/>
          <w:highlight w:val="none"/>
          <w:lang w:val="zh-CN"/>
        </w:rPr>
        <w:t>、企业资信证明、质量体系认证以及服务承诺等；</w:t>
      </w:r>
    </w:p>
    <w:p>
      <w:pPr>
        <w:snapToGrid w:val="0"/>
        <w:spacing w:line="360" w:lineRule="auto"/>
        <w:ind w:firstLine="539"/>
        <w:rPr>
          <w:rFonts w:hint="eastAsia" w:ascii="仿宋_GB2312" w:eastAsia="仿宋_GB2312"/>
          <w:color w:val="auto"/>
          <w:sz w:val="28"/>
          <w:szCs w:val="28"/>
          <w:highlight w:val="none"/>
          <w:lang w:val="zh-CN"/>
        </w:rPr>
      </w:pPr>
      <w:r>
        <w:rPr>
          <w:rFonts w:hint="eastAsia" w:ascii="仿宋" w:hAnsi="仿宋" w:eastAsia="仿宋"/>
          <w:color w:val="auto"/>
          <w:sz w:val="28"/>
          <w:szCs w:val="28"/>
          <w:highlight w:val="none"/>
          <w:lang w:val="zh-CN"/>
        </w:rPr>
        <w:t>（2）补充</w:t>
      </w:r>
      <w:r>
        <w:rPr>
          <w:rFonts w:ascii="仿宋" w:hAnsi="仿宋" w:eastAsia="仿宋"/>
          <w:color w:val="auto"/>
          <w:sz w:val="28"/>
          <w:szCs w:val="28"/>
          <w:highlight w:val="none"/>
          <w:lang w:val="zh-CN"/>
        </w:rPr>
        <w:t>资料：</w:t>
      </w:r>
      <w:r>
        <w:rPr>
          <w:rFonts w:hint="eastAsia" w:ascii="仿宋_GB2312" w:eastAsia="仿宋_GB2312"/>
          <w:color w:val="auto"/>
          <w:sz w:val="28"/>
          <w:szCs w:val="28"/>
          <w:highlight w:val="none"/>
          <w:lang w:val="zh-CN"/>
        </w:rPr>
        <w:t>其它资格证明。</w:t>
      </w:r>
    </w:p>
    <w:p>
      <w:pPr>
        <w:autoSpaceDE w:val="0"/>
        <w:autoSpaceDN w:val="0"/>
        <w:adjustRightInd w:val="0"/>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以上</w:t>
      </w:r>
      <w:r>
        <w:rPr>
          <w:rFonts w:ascii="仿宋_GB2312" w:eastAsia="仿宋_GB2312"/>
          <w:color w:val="auto"/>
          <w:sz w:val="28"/>
          <w:szCs w:val="28"/>
          <w:highlight w:val="none"/>
          <w:lang w:val="zh-CN"/>
        </w:rPr>
        <w:t>资料</w:t>
      </w:r>
      <w:r>
        <w:rPr>
          <w:rFonts w:hint="eastAsia" w:ascii="仿宋_GB2312" w:eastAsia="仿宋_GB2312"/>
          <w:b/>
          <w:color w:val="auto"/>
          <w:sz w:val="28"/>
          <w:szCs w:val="28"/>
          <w:highlight w:val="none"/>
          <w:lang w:val="zh-CN"/>
        </w:rPr>
        <w:t>要求原件备查</w:t>
      </w:r>
      <w:r>
        <w:rPr>
          <w:rFonts w:hint="eastAsia" w:ascii="仿宋_GB2312" w:eastAsia="仿宋_GB2312"/>
          <w:color w:val="auto"/>
          <w:sz w:val="28"/>
          <w:szCs w:val="28"/>
          <w:highlight w:val="none"/>
          <w:lang w:val="zh-CN"/>
        </w:rPr>
        <w:t>（若资料带二维码查询验证，不查验原件）</w:t>
      </w:r>
      <w:r>
        <w:rPr>
          <w:rFonts w:hint="eastAsia" w:ascii="仿宋_GB2312" w:eastAsia="仿宋_GB2312"/>
          <w:b/>
          <w:color w:val="auto"/>
          <w:sz w:val="28"/>
          <w:szCs w:val="28"/>
          <w:highlight w:val="none"/>
          <w:lang w:val="zh-CN"/>
        </w:rPr>
        <w:t>，复印件均</w:t>
      </w:r>
      <w:r>
        <w:rPr>
          <w:rFonts w:ascii="仿宋_GB2312" w:eastAsia="仿宋_GB2312"/>
          <w:b/>
          <w:color w:val="auto"/>
          <w:sz w:val="28"/>
          <w:szCs w:val="28"/>
          <w:highlight w:val="none"/>
          <w:lang w:val="zh-CN"/>
        </w:rPr>
        <w:t>需</w:t>
      </w:r>
      <w:r>
        <w:rPr>
          <w:rFonts w:hint="eastAsia" w:ascii="仿宋_GB2312" w:eastAsia="仿宋_GB2312"/>
          <w:b/>
          <w:color w:val="auto"/>
          <w:sz w:val="28"/>
          <w:szCs w:val="28"/>
          <w:highlight w:val="none"/>
          <w:lang w:val="zh-CN"/>
        </w:rPr>
        <w:t>加盖鲜章。</w:t>
      </w:r>
    </w:p>
    <w:p>
      <w:pPr>
        <w:snapToGrid w:val="0"/>
        <w:spacing w:line="360" w:lineRule="auto"/>
        <w:ind w:firstLine="539"/>
        <w:rPr>
          <w:rFonts w:hint="eastAsia" w:ascii="仿宋_GB2312" w:eastAsia="仿宋_GB2312"/>
          <w:color w:val="auto"/>
          <w:sz w:val="28"/>
          <w:szCs w:val="28"/>
          <w:highlight w:val="none"/>
          <w:lang w:val="zh-CN" w:eastAsia="zh-CN"/>
        </w:rPr>
      </w:pPr>
      <w:r>
        <w:rPr>
          <w:rFonts w:hint="eastAsia" w:ascii="仿宋_GB2312" w:hAnsi="宋体"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响应文件可合并装订成册，纸质文件一式</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zh-CN"/>
        </w:rPr>
        <w:t>份，其中正本1份，副本</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zh-CN"/>
        </w:rPr>
        <w:t>份</w:t>
      </w:r>
      <w:r>
        <w:rPr>
          <w:rFonts w:hint="eastAsia" w:ascii="仿宋_GB2312" w:eastAsia="仿宋_GB2312"/>
          <w:color w:val="auto"/>
          <w:sz w:val="28"/>
          <w:szCs w:val="28"/>
          <w:highlight w:val="none"/>
          <w:lang w:val="zh-CN" w:eastAsia="zh-CN"/>
        </w:rPr>
        <w:t>，正本文件内签字和盖章须为原件。副本可为正本的复印件。</w:t>
      </w:r>
    </w:p>
    <w:p>
      <w:pPr>
        <w:pStyle w:val="28"/>
        <w:widowControl/>
        <w:numPr>
          <w:ilvl w:val="0"/>
          <w:numId w:val="0"/>
        </w:numPr>
        <w:spacing w:line="360" w:lineRule="auto"/>
        <w:ind w:leftChars="0"/>
        <w:jc w:val="left"/>
        <w:outlineLvl w:val="0"/>
        <w:rPr>
          <w:rFonts w:ascii="仿宋" w:hAnsi="仿宋" w:eastAsia="仿宋"/>
          <w:b/>
          <w:bCs/>
          <w:color w:val="auto"/>
          <w:kern w:val="0"/>
          <w:sz w:val="28"/>
          <w:szCs w:val="28"/>
          <w:highlight w:val="none"/>
        </w:rPr>
      </w:pPr>
      <w:bookmarkStart w:id="20" w:name="_Toc14643"/>
      <w:bookmarkStart w:id="21" w:name="_Toc21610_WPSOffice_Level1"/>
      <w:r>
        <w:rPr>
          <w:rFonts w:hint="eastAsia" w:ascii="仿宋" w:hAnsi="仿宋" w:eastAsia="仿宋"/>
          <w:b/>
          <w:bCs/>
          <w:color w:val="auto"/>
          <w:kern w:val="0"/>
          <w:sz w:val="28"/>
          <w:szCs w:val="28"/>
          <w:highlight w:val="none"/>
          <w:lang w:val="en-US" w:eastAsia="zh-CN"/>
        </w:rPr>
        <w:t>十一、</w:t>
      </w:r>
      <w:r>
        <w:rPr>
          <w:rFonts w:hint="eastAsia" w:ascii="仿宋" w:hAnsi="仿宋" w:eastAsia="仿宋"/>
          <w:b/>
          <w:bCs/>
          <w:color w:val="auto"/>
          <w:kern w:val="0"/>
          <w:sz w:val="28"/>
          <w:szCs w:val="28"/>
          <w:highlight w:val="none"/>
          <w:lang w:eastAsia="zh-CN"/>
        </w:rPr>
        <w:t>竞争性比选</w:t>
      </w:r>
      <w:r>
        <w:rPr>
          <w:rFonts w:hint="eastAsia" w:ascii="仿宋" w:hAnsi="仿宋" w:eastAsia="仿宋"/>
          <w:b/>
          <w:bCs/>
          <w:color w:val="auto"/>
          <w:kern w:val="0"/>
          <w:sz w:val="28"/>
          <w:szCs w:val="28"/>
          <w:highlight w:val="none"/>
        </w:rPr>
        <w:t>响应文件作废条款</w:t>
      </w:r>
      <w:bookmarkEnd w:id="20"/>
      <w:bookmarkEnd w:id="21"/>
    </w:p>
    <w:p>
      <w:pPr>
        <w:pStyle w:val="28"/>
        <w:numPr>
          <w:ilvl w:val="1"/>
          <w:numId w:val="3"/>
        </w:numPr>
        <w:spacing w:line="360" w:lineRule="auto"/>
        <w:ind w:left="0" w:firstLine="528"/>
        <w:rPr>
          <w:rFonts w:ascii="仿宋" w:hAnsi="仿宋" w:eastAsia="仿宋"/>
          <w:color w:val="auto"/>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响应方</w:t>
      </w:r>
      <w:r>
        <w:rPr>
          <w:rFonts w:hint="eastAsia" w:ascii="仿宋" w:hAnsi="仿宋" w:eastAsia="仿宋"/>
          <w:color w:val="auto"/>
          <w:sz w:val="28"/>
          <w:szCs w:val="28"/>
          <w:highlight w:val="none"/>
        </w:rPr>
        <w:t>未按要求密封或未准时递交的</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z w:val="28"/>
          <w:szCs w:val="28"/>
          <w:highlight w:val="none"/>
        </w:rPr>
        <w:t>。</w:t>
      </w:r>
    </w:p>
    <w:p>
      <w:pPr>
        <w:widowControl/>
        <w:adjustRightInd w:val="0"/>
        <w:snapToGrid w:val="0"/>
        <w:spacing w:line="360" w:lineRule="auto"/>
        <w:ind w:firstLine="562" w:firstLineChars="200"/>
        <w:jc w:val="left"/>
        <w:textAlignment w:val="bottom"/>
        <w:rPr>
          <w:rFonts w:ascii="仿宋" w:hAnsi="仿宋" w:eastAsia="仿宋"/>
          <w:b/>
          <w:color w:val="auto"/>
          <w:kern w:val="0"/>
          <w:sz w:val="28"/>
          <w:szCs w:val="28"/>
          <w:highlight w:val="none"/>
        </w:rPr>
      </w:pPr>
      <w:r>
        <w:rPr>
          <w:rFonts w:hint="eastAsia" w:ascii="仿宋" w:hAnsi="仿宋" w:eastAsia="仿宋"/>
          <w:b/>
          <w:color w:val="auto"/>
          <w:kern w:val="0"/>
          <w:sz w:val="28"/>
          <w:szCs w:val="28"/>
          <w:highlight w:val="none"/>
        </w:rPr>
        <w:t>（1）</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rPr>
        <w:t>必须在</w:t>
      </w:r>
      <w:r>
        <w:rPr>
          <w:rFonts w:ascii="仿宋" w:hAnsi="仿宋" w:eastAsia="仿宋"/>
          <w:b/>
          <w:color w:val="auto"/>
          <w:kern w:val="0"/>
          <w:sz w:val="28"/>
          <w:szCs w:val="28"/>
          <w:highlight w:val="none"/>
          <w:u w:val="single"/>
        </w:rPr>
        <w:t>20</w:t>
      </w:r>
      <w:r>
        <w:rPr>
          <w:rFonts w:hint="eastAsia" w:ascii="仿宋" w:hAnsi="仿宋" w:eastAsia="仿宋"/>
          <w:b/>
          <w:color w:val="auto"/>
          <w:kern w:val="0"/>
          <w:sz w:val="28"/>
          <w:szCs w:val="28"/>
          <w:highlight w:val="none"/>
          <w:u w:val="single"/>
          <w:lang w:val="en-US" w:eastAsia="zh-CN"/>
        </w:rPr>
        <w:t>21</w:t>
      </w:r>
      <w:r>
        <w:rPr>
          <w:rFonts w:hint="eastAsia" w:ascii="仿宋" w:hAnsi="仿宋" w:eastAsia="仿宋"/>
          <w:b/>
          <w:color w:val="auto"/>
          <w:kern w:val="0"/>
          <w:sz w:val="28"/>
          <w:szCs w:val="28"/>
          <w:highlight w:val="none"/>
          <w:u w:val="single"/>
        </w:rPr>
        <w:t xml:space="preserve">年 </w:t>
      </w:r>
      <w:r>
        <w:rPr>
          <w:rFonts w:hint="eastAsia" w:ascii="仿宋" w:hAnsi="仿宋" w:eastAsia="仿宋"/>
          <w:b/>
          <w:color w:val="auto"/>
          <w:kern w:val="0"/>
          <w:sz w:val="28"/>
          <w:szCs w:val="28"/>
          <w:highlight w:val="none"/>
          <w:u w:val="single"/>
          <w:lang w:val="en-US" w:eastAsia="zh-CN"/>
        </w:rPr>
        <w:t>4</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 xml:space="preserve">月 </w:t>
      </w:r>
      <w:r>
        <w:rPr>
          <w:rFonts w:hint="eastAsia" w:ascii="仿宋" w:hAnsi="仿宋" w:eastAsia="仿宋"/>
          <w:b/>
          <w:color w:val="auto"/>
          <w:kern w:val="0"/>
          <w:sz w:val="28"/>
          <w:szCs w:val="28"/>
          <w:highlight w:val="none"/>
          <w:u w:val="single"/>
          <w:lang w:val="en-US" w:eastAsia="zh-CN"/>
        </w:rPr>
        <w:t>22</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rPr>
        <w:t>日</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u w:val="single"/>
          <w:lang w:val="en-US" w:eastAsia="zh-CN"/>
        </w:rPr>
        <w:t>10:00</w:t>
      </w:r>
      <w:r>
        <w:rPr>
          <w:rFonts w:ascii="仿宋" w:hAnsi="仿宋" w:eastAsia="仿宋"/>
          <w:b/>
          <w:color w:val="auto"/>
          <w:kern w:val="0"/>
          <w:sz w:val="28"/>
          <w:szCs w:val="28"/>
          <w:highlight w:val="none"/>
          <w:u w:val="single"/>
        </w:rPr>
        <w:t xml:space="preserve">  </w:t>
      </w:r>
      <w:r>
        <w:rPr>
          <w:rFonts w:hint="eastAsia" w:ascii="仿宋" w:hAnsi="仿宋" w:eastAsia="仿宋"/>
          <w:b/>
          <w:color w:val="auto"/>
          <w:kern w:val="0"/>
          <w:sz w:val="28"/>
          <w:szCs w:val="28"/>
          <w:highlight w:val="none"/>
        </w:rPr>
        <w:t>时前送到重庆机场有限公司动力能源保障部采购办公室（机场东路3</w:t>
      </w:r>
      <w:r>
        <w:rPr>
          <w:rFonts w:ascii="仿宋" w:hAnsi="仿宋" w:eastAsia="仿宋"/>
          <w:b/>
          <w:color w:val="auto"/>
          <w:kern w:val="0"/>
          <w:sz w:val="28"/>
          <w:szCs w:val="28"/>
          <w:highlight w:val="none"/>
        </w:rPr>
        <w:t>0</w:t>
      </w:r>
      <w:r>
        <w:rPr>
          <w:rFonts w:hint="eastAsia" w:ascii="仿宋" w:hAnsi="仿宋" w:eastAsia="仿宋"/>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ascii="仿宋" w:hAnsi="仿宋" w:eastAsia="仿宋"/>
          <w:b/>
          <w:color w:val="auto"/>
          <w:sz w:val="28"/>
          <w:szCs w:val="28"/>
          <w:highlight w:val="none"/>
        </w:rPr>
      </w:pPr>
      <w:r>
        <w:rPr>
          <w:rFonts w:hint="eastAsia" w:ascii="仿宋" w:hAnsi="仿宋" w:eastAsia="仿宋"/>
          <w:b/>
          <w:color w:val="auto"/>
          <w:kern w:val="0"/>
          <w:sz w:val="28"/>
          <w:szCs w:val="28"/>
          <w:highlight w:val="none"/>
        </w:rPr>
        <w:t>（2）</w:t>
      </w:r>
      <w:r>
        <w:rPr>
          <w:rFonts w:hint="eastAsia" w:ascii="仿宋" w:hAnsi="仿宋" w:eastAsia="仿宋"/>
          <w:b/>
          <w:color w:val="auto"/>
          <w:kern w:val="0"/>
          <w:sz w:val="28"/>
          <w:szCs w:val="28"/>
          <w:highlight w:val="none"/>
          <w:lang w:eastAsia="zh-CN"/>
        </w:rPr>
        <w:t>竞争性比选响应人须将纸质</w:t>
      </w:r>
      <w:r>
        <w:rPr>
          <w:rFonts w:hint="eastAsia" w:ascii="仿宋" w:hAnsi="仿宋" w:eastAsia="仿宋"/>
          <w:b/>
          <w:color w:val="auto"/>
          <w:sz w:val="28"/>
          <w:szCs w:val="28"/>
          <w:highlight w:val="none"/>
          <w:lang w:val="zh-CN"/>
        </w:rPr>
        <w:t>竞争性比选响应文件</w:t>
      </w:r>
      <w:r>
        <w:rPr>
          <w:rFonts w:hint="eastAsia" w:ascii="仿宋" w:hAnsi="仿宋" w:eastAsia="仿宋"/>
          <w:b/>
          <w:color w:val="auto"/>
          <w:kern w:val="0"/>
          <w:sz w:val="28"/>
          <w:szCs w:val="28"/>
          <w:highlight w:val="none"/>
          <w:lang w:eastAsia="zh-CN"/>
        </w:rPr>
        <w:t>装入其</w:t>
      </w:r>
      <w:r>
        <w:rPr>
          <w:rFonts w:hint="eastAsia" w:ascii="仿宋" w:hAnsi="仿宋" w:eastAsia="仿宋"/>
          <w:b/>
          <w:color w:val="auto"/>
          <w:kern w:val="0"/>
          <w:sz w:val="28"/>
          <w:szCs w:val="28"/>
          <w:highlight w:val="none"/>
        </w:rPr>
        <w:t>自备的</w:t>
      </w:r>
      <w:r>
        <w:rPr>
          <w:rFonts w:hint="eastAsia" w:ascii="仿宋" w:hAnsi="仿宋" w:eastAsia="仿宋"/>
          <w:b/>
          <w:color w:val="auto"/>
          <w:kern w:val="0"/>
          <w:sz w:val="28"/>
          <w:szCs w:val="28"/>
          <w:highlight w:val="none"/>
          <w:lang w:eastAsia="zh-CN"/>
        </w:rPr>
        <w:t>文件袋中，</w:t>
      </w:r>
      <w:r>
        <w:rPr>
          <w:rFonts w:hint="eastAsia" w:ascii="仿宋" w:hAnsi="仿宋" w:eastAsia="仿宋"/>
          <w:b/>
          <w:color w:val="auto"/>
          <w:kern w:val="0"/>
          <w:sz w:val="28"/>
          <w:szCs w:val="28"/>
          <w:highlight w:val="none"/>
        </w:rPr>
        <w:t>密封</w:t>
      </w:r>
      <w:r>
        <w:rPr>
          <w:rFonts w:hint="eastAsia" w:ascii="仿宋" w:hAnsi="仿宋" w:eastAsia="仿宋"/>
          <w:b/>
          <w:color w:val="auto"/>
          <w:kern w:val="0"/>
          <w:sz w:val="28"/>
          <w:szCs w:val="28"/>
          <w:highlight w:val="none"/>
          <w:lang w:eastAsia="zh-CN"/>
        </w:rPr>
        <w:t>并</w:t>
      </w:r>
      <w:r>
        <w:rPr>
          <w:rFonts w:hint="eastAsia" w:ascii="仿宋" w:hAnsi="仿宋" w:eastAsia="仿宋"/>
          <w:b/>
          <w:color w:val="auto"/>
          <w:kern w:val="0"/>
          <w:sz w:val="28"/>
          <w:szCs w:val="28"/>
          <w:highlight w:val="none"/>
        </w:rPr>
        <w:t>在袋上加盖</w:t>
      </w:r>
      <w:r>
        <w:rPr>
          <w:rFonts w:hint="eastAsia" w:ascii="仿宋" w:hAnsi="仿宋" w:eastAsia="仿宋"/>
          <w:b/>
          <w:color w:val="auto"/>
          <w:kern w:val="0"/>
          <w:sz w:val="28"/>
          <w:szCs w:val="28"/>
          <w:highlight w:val="none"/>
          <w:lang w:eastAsia="zh-CN"/>
        </w:rPr>
        <w:t>竞争性比选响应人</w:t>
      </w:r>
      <w:r>
        <w:rPr>
          <w:rFonts w:hint="eastAsia" w:ascii="仿宋" w:hAnsi="仿宋" w:eastAsia="仿宋"/>
          <w:b/>
          <w:color w:val="auto"/>
          <w:kern w:val="0"/>
          <w:sz w:val="28"/>
          <w:szCs w:val="28"/>
          <w:highlight w:val="none"/>
        </w:rPr>
        <w:t>单位鲜公章</w:t>
      </w:r>
      <w:r>
        <w:rPr>
          <w:rFonts w:hint="eastAsia" w:ascii="仿宋" w:hAnsi="仿宋" w:eastAsia="仿宋"/>
          <w:b/>
          <w:color w:val="auto"/>
          <w:spacing w:val="-8"/>
          <w:sz w:val="28"/>
          <w:szCs w:val="28"/>
          <w:highlight w:val="none"/>
        </w:rPr>
        <w:t>。</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响应文件散装或者活页装订的；</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份数不足</w:t>
      </w:r>
      <w:r>
        <w:rPr>
          <w:rFonts w:hint="eastAsia" w:ascii="仿宋" w:hAnsi="仿宋" w:eastAsia="仿宋"/>
          <w:color w:val="auto"/>
          <w:spacing w:val="-8"/>
          <w:sz w:val="28"/>
          <w:szCs w:val="28"/>
          <w:highlight w:val="none"/>
        </w:rPr>
        <w:t>或</w:t>
      </w:r>
      <w:r>
        <w:rPr>
          <w:rFonts w:hint="eastAsia" w:ascii="仿宋" w:hAnsi="仿宋" w:eastAsia="仿宋"/>
          <w:color w:val="auto"/>
          <w:spacing w:val="-8"/>
          <w:sz w:val="28"/>
          <w:szCs w:val="28"/>
          <w:highlight w:val="none"/>
          <w:lang w:eastAsia="zh-CN"/>
        </w:rPr>
        <w:t>竞争性</w:t>
      </w:r>
      <w:r>
        <w:rPr>
          <w:rFonts w:hint="eastAsia" w:ascii="仿宋" w:hAnsi="仿宋" w:eastAsia="仿宋"/>
          <w:color w:val="auto"/>
          <w:spacing w:val="-8"/>
          <w:sz w:val="28"/>
          <w:szCs w:val="28"/>
          <w:highlight w:val="none"/>
        </w:rPr>
        <w:t>比选响应文件</w:t>
      </w:r>
      <w:r>
        <w:rPr>
          <w:rFonts w:hint="eastAsia" w:ascii="仿宋" w:hAnsi="仿宋" w:eastAsia="仿宋"/>
          <w:b/>
          <w:bCs/>
          <w:color w:val="auto"/>
          <w:spacing w:val="-8"/>
          <w:sz w:val="28"/>
          <w:szCs w:val="28"/>
          <w:highlight w:val="none"/>
        </w:rPr>
        <w:t>封面未标注正副本</w:t>
      </w:r>
      <w:r>
        <w:rPr>
          <w:rFonts w:hint="eastAsia" w:ascii="仿宋" w:hAnsi="仿宋" w:eastAsia="仿宋"/>
          <w:color w:val="auto"/>
          <w:spacing w:val="-8"/>
          <w:sz w:val="28"/>
          <w:szCs w:val="28"/>
          <w:highlight w:val="none"/>
        </w:rPr>
        <w:t>（密封袋封面无需标注正副本）。</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w:t>
      </w:r>
      <w:r>
        <w:rPr>
          <w:rFonts w:hint="eastAsia" w:ascii="仿宋" w:hAnsi="仿宋" w:eastAsia="仿宋"/>
          <w:color w:val="auto"/>
          <w:spacing w:val="-8"/>
          <w:sz w:val="28"/>
          <w:szCs w:val="28"/>
          <w:highlight w:val="none"/>
          <w:lang w:eastAsia="zh-CN"/>
        </w:rPr>
        <w:t>中报价函部分、授权部分等</w:t>
      </w:r>
      <w:r>
        <w:rPr>
          <w:rFonts w:hint="eastAsia" w:ascii="仿宋" w:hAnsi="仿宋" w:eastAsia="仿宋"/>
          <w:color w:val="auto"/>
          <w:spacing w:val="-8"/>
          <w:sz w:val="28"/>
          <w:szCs w:val="28"/>
          <w:highlight w:val="none"/>
        </w:rPr>
        <w:t>无法定代表</w:t>
      </w:r>
      <w:r>
        <w:rPr>
          <w:rFonts w:hint="eastAsia" w:ascii="仿宋" w:hAnsi="仿宋" w:eastAsia="仿宋"/>
          <w:color w:val="auto"/>
          <w:spacing w:val="-8"/>
          <w:sz w:val="28"/>
          <w:szCs w:val="28"/>
          <w:highlight w:val="none"/>
          <w:lang w:eastAsia="zh-CN"/>
        </w:rPr>
        <w:t>人</w:t>
      </w:r>
      <w:r>
        <w:rPr>
          <w:rFonts w:hint="eastAsia" w:ascii="仿宋" w:hAnsi="仿宋" w:eastAsia="仿宋"/>
          <w:color w:val="auto"/>
          <w:spacing w:val="-8"/>
          <w:sz w:val="28"/>
          <w:szCs w:val="28"/>
          <w:highlight w:val="none"/>
        </w:rPr>
        <w:t>签字（签章）或签字人无有效授权书的；</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资质不符或超出经营范围</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的；</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有串通</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或弄虚作假或有其他违法行为的；</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有效期不足的；</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响应文件未按要求编制，内容不全或关键字迹模糊、无法辨认的；</w:t>
      </w:r>
    </w:p>
    <w:p>
      <w:pPr>
        <w:pStyle w:val="28"/>
        <w:numPr>
          <w:ilvl w:val="1"/>
          <w:numId w:val="3"/>
        </w:numPr>
        <w:spacing w:line="360" w:lineRule="auto"/>
        <w:ind w:left="0" w:firstLine="528"/>
        <w:rPr>
          <w:rFonts w:ascii="仿宋" w:hAnsi="仿宋" w:eastAsia="仿宋"/>
          <w:color w:val="auto"/>
          <w:spacing w:val="-8"/>
          <w:sz w:val="28"/>
          <w:szCs w:val="28"/>
          <w:highlight w:val="none"/>
        </w:rPr>
      </w:pPr>
      <w:r>
        <w:rPr>
          <w:rFonts w:hint="eastAsia" w:ascii="仿宋" w:hAnsi="仿宋" w:eastAsia="仿宋"/>
          <w:color w:val="auto"/>
          <w:spacing w:val="-8"/>
          <w:sz w:val="28"/>
          <w:szCs w:val="28"/>
          <w:highlight w:val="none"/>
        </w:rPr>
        <w:t>评审委员会审查发现</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响应文件未能对</w:t>
      </w:r>
      <w:r>
        <w:rPr>
          <w:rFonts w:hint="eastAsia" w:ascii="仿宋" w:hAnsi="仿宋" w:eastAsia="仿宋"/>
          <w:color w:val="auto"/>
          <w:spacing w:val="-8"/>
          <w:sz w:val="28"/>
          <w:szCs w:val="28"/>
          <w:highlight w:val="none"/>
          <w:lang w:eastAsia="zh-CN"/>
        </w:rPr>
        <w:t>竞争性比选</w:t>
      </w:r>
      <w:r>
        <w:rPr>
          <w:rFonts w:hint="eastAsia" w:ascii="仿宋" w:hAnsi="仿宋" w:eastAsia="仿宋"/>
          <w:color w:val="auto"/>
          <w:spacing w:val="-8"/>
          <w:sz w:val="28"/>
          <w:szCs w:val="28"/>
          <w:highlight w:val="none"/>
        </w:rPr>
        <w:t>文件提出的所有实质性要求和条件作出响应的。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ascii="仿宋_GB2312" w:hAnsi="宋体" w:eastAsia="仿宋_GB2312"/>
          <w:color w:val="auto"/>
          <w:sz w:val="28"/>
          <w:szCs w:val="28"/>
          <w:highlight w:val="none"/>
        </w:rPr>
      </w:pPr>
      <w:bookmarkStart w:id="22" w:name="_Toc32308_WPSOffice_Level1"/>
      <w:bookmarkStart w:id="23" w:name="_Toc14013"/>
      <w:r>
        <w:rPr>
          <w:rFonts w:hint="eastAsia" w:ascii="仿宋" w:hAnsi="仿宋" w:eastAsia="仿宋"/>
          <w:b/>
          <w:bCs/>
          <w:color w:val="auto"/>
          <w:kern w:val="0"/>
          <w:sz w:val="28"/>
          <w:szCs w:val="28"/>
          <w:highlight w:val="none"/>
          <w:lang w:val="en-US" w:eastAsia="zh-CN"/>
        </w:rPr>
        <w:t>十二、</w:t>
      </w:r>
      <w:bookmarkEnd w:id="22"/>
      <w:bookmarkEnd w:id="23"/>
      <w:r>
        <w:rPr>
          <w:rFonts w:hint="eastAsia" w:ascii="仿宋" w:hAnsi="仿宋" w:eastAsia="仿宋" w:cs="仿宋"/>
          <w:b/>
          <w:color w:val="auto"/>
          <w:sz w:val="28"/>
          <w:szCs w:val="28"/>
          <w:highlight w:val="none"/>
        </w:rPr>
        <w:t>异议</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（二）异议提出人向采购人提起异议时，应当提交异议书。异议书应当包括下列内容：</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异议提出人的名称、地址及有效联系方式。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异议事项的基本事实。</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异议请求及主张。</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有效线索和相关证据、证明材料。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招标投标法第二十二条规定的招标投标保密信息。</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应当保密的采购响应文件（但采购人提起异议时，采购响应文件不作为非法证据）。</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其他依法应当保密的信息和资料。</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（六）有下列情形之一的异议，不予受理：</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zh-CN"/>
        </w:rPr>
        <w:t>异议事项不具体，且未提供有效线索、相关证据和证明材料，难以查证。</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zh-CN"/>
        </w:rPr>
        <w:t>未署异议提出人真实姓名、签字和有效联系方式。</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val="zh-CN"/>
        </w:rPr>
        <w:t>未经法定代表人或授权的委托代理人签字并加盖公章，或未经主要负责人或异议提出人本人签字。</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4、</w:t>
      </w:r>
      <w:r>
        <w:rPr>
          <w:rFonts w:hint="eastAsia" w:ascii="仿宋" w:hAnsi="仿宋" w:eastAsia="仿宋"/>
          <w:color w:val="auto"/>
          <w:sz w:val="28"/>
          <w:szCs w:val="28"/>
          <w:highlight w:val="none"/>
          <w:lang w:val="zh-CN"/>
        </w:rPr>
        <w:t>不在结果异议期内的。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rPr>
        <w:t>5、</w:t>
      </w:r>
      <w:r>
        <w:rPr>
          <w:rFonts w:hint="eastAsia" w:ascii="仿宋" w:hAnsi="仿宋" w:eastAsia="仿宋"/>
          <w:color w:val="auto"/>
          <w:sz w:val="28"/>
          <w:szCs w:val="28"/>
          <w:highlight w:val="none"/>
          <w:lang w:val="zh-CN"/>
        </w:rPr>
        <w:t>已对异议事项做出答复的。</w:t>
      </w:r>
    </w:p>
    <w:p>
      <w:pPr>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联系方式</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业主：重庆机场集团有限公司动力能源保障部</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r>
        <w:rPr>
          <w:rFonts w:hint="eastAsia" w:ascii="仿宋_GB2312" w:hAnsi="宋体" w:eastAsia="仿宋_GB2312"/>
          <w:color w:val="auto"/>
          <w:sz w:val="28"/>
          <w:szCs w:val="28"/>
          <w:highlight w:val="none"/>
          <w:lang w:val="en-US" w:eastAsia="zh-CN"/>
        </w:rPr>
        <w:t>雷</w:t>
      </w:r>
      <w:r>
        <w:rPr>
          <w:rFonts w:hint="eastAsia" w:ascii="仿宋_GB2312" w:hAnsi="宋体" w:eastAsia="仿宋_GB2312"/>
          <w:color w:val="auto"/>
          <w:sz w:val="28"/>
          <w:szCs w:val="28"/>
          <w:highlight w:val="none"/>
        </w:rPr>
        <w:t>老师</w:t>
      </w:r>
    </w:p>
    <w:p>
      <w:pPr>
        <w:snapToGrid w:val="0"/>
        <w:spacing w:line="360" w:lineRule="auto"/>
        <w:ind w:firstLine="539"/>
        <w:rPr>
          <w:rFonts w:hint="eastAsia" w:eastAsia="仿宋_GB2312"/>
          <w:color w:val="auto"/>
          <w:sz w:val="28"/>
          <w:szCs w:val="28"/>
          <w:highlight w:val="none"/>
          <w:lang w:val="en-US" w:eastAsia="zh-CN"/>
        </w:rPr>
      </w:pPr>
      <w:r>
        <w:rPr>
          <w:rFonts w:eastAsia="仿宋_GB2312"/>
          <w:color w:val="auto"/>
          <w:sz w:val="28"/>
          <w:szCs w:val="28"/>
          <w:highlight w:val="none"/>
        </w:rPr>
        <w:t>电话：（023）6715</w:t>
      </w:r>
      <w:r>
        <w:rPr>
          <w:rFonts w:hint="eastAsia" w:eastAsia="仿宋_GB2312"/>
          <w:color w:val="auto"/>
          <w:sz w:val="28"/>
          <w:szCs w:val="28"/>
          <w:highlight w:val="none"/>
          <w:lang w:val="en-US" w:eastAsia="zh-CN"/>
        </w:rPr>
        <w:t>3569</w:t>
      </w:r>
    </w:p>
    <w:p>
      <w:pPr>
        <w:snapToGrid w:val="0"/>
        <w:spacing w:line="360" w:lineRule="auto"/>
        <w:ind w:firstLine="539"/>
        <w:rPr>
          <w:rFonts w:eastAsia="仿宋_GB2312"/>
          <w:color w:val="auto"/>
          <w:sz w:val="28"/>
          <w:szCs w:val="28"/>
          <w:highlight w:val="none"/>
        </w:rPr>
      </w:pPr>
      <w:r>
        <w:rPr>
          <w:rFonts w:eastAsia="仿宋_GB2312"/>
          <w:color w:val="auto"/>
          <w:sz w:val="28"/>
          <w:szCs w:val="28"/>
          <w:highlight w:val="none"/>
        </w:rPr>
        <w:t>邮件：dlnycgb@163.com</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传真：（023）67153752</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hint="eastAsia" w:ascii="仿宋" w:hAnsi="仿宋" w:eastAsia="仿宋"/>
          <w:color w:val="auto"/>
          <w:sz w:val="28"/>
          <w:szCs w:val="28"/>
          <w:highlight w:val="none"/>
        </w:rPr>
      </w:pPr>
    </w:p>
    <w:p>
      <w:pPr>
        <w:snapToGrid w:val="0"/>
        <w:spacing w:line="54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1</w:t>
      </w:r>
      <w:r>
        <w:rPr>
          <w:rFonts w:hint="eastAsia" w:ascii="仿宋" w:hAnsi="仿宋" w:eastAsia="仿宋"/>
          <w:color w:val="auto"/>
          <w:sz w:val="28"/>
          <w:szCs w:val="28"/>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8"/>
        <w:spacing w:line="360" w:lineRule="auto"/>
        <w:rPr>
          <w:rFonts w:hAnsi="宋体" w:cs="宋体"/>
          <w:color w:val="auto"/>
          <w:sz w:val="28"/>
          <w:szCs w:val="28"/>
          <w:highlight w:val="none"/>
        </w:rPr>
      </w:pPr>
    </w:p>
    <w:p>
      <w:pPr>
        <w:pStyle w:val="8"/>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sectPr>
          <w:footerReference r:id="rId5" w:type="default"/>
          <w:type w:val="continuous"/>
          <w:pgSz w:w="11906" w:h="16838"/>
          <w:pgMar w:top="1080" w:right="1440" w:bottom="1080" w:left="1440" w:header="851" w:footer="992" w:gutter="0"/>
          <w:cols w:space="720" w:num="1"/>
          <w:docGrid w:type="linesAndChars" w:linePitch="312" w:charSpace="0"/>
        </w:sectPr>
      </w:pPr>
    </w:p>
    <w:p>
      <w:pPr>
        <w:pStyle w:val="29"/>
        <w:ind w:right="600" w:firstLine="600"/>
        <w:jc w:val="right"/>
        <w:rPr>
          <w:color w:val="auto"/>
          <w:highlight w:val="none"/>
        </w:rPr>
      </w:pPr>
      <w:r>
        <w:rPr>
          <w:color w:val="auto"/>
          <w:highlight w:val="none"/>
        </w:rPr>
        <w:t xml:space="preserve">        </w:t>
      </w: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32"/>
        <w:jc w:val="center"/>
        <w:rPr>
          <w:color w:val="auto"/>
          <w:highlight w:val="none"/>
        </w:rPr>
      </w:pPr>
      <w:r>
        <w:rPr>
          <w:rFonts w:hint="eastAsia"/>
          <w:color w:val="auto"/>
          <w:highlight w:val="none"/>
        </w:rPr>
        <w:t>重庆江北国际机场</w:t>
      </w:r>
    </w:p>
    <w:p>
      <w:pPr>
        <w:pStyle w:val="32"/>
        <w:jc w:val="center"/>
        <w:rPr>
          <w:color w:val="auto"/>
          <w:sz w:val="44"/>
          <w:highlight w:val="none"/>
        </w:rPr>
      </w:pPr>
      <w:r>
        <w:rPr>
          <w:rFonts w:hint="eastAsia"/>
          <w:color w:val="auto"/>
          <w:highlight w:val="none"/>
        </w:rPr>
        <w:t>承揽合同</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b/>
          <w:color w:val="auto"/>
          <w:sz w:val="32"/>
          <w:szCs w:val="32"/>
          <w:highlight w:val="none"/>
        </w:rPr>
      </w:pPr>
      <w:r>
        <w:rPr>
          <w:rFonts w:hint="eastAsia"/>
          <w:b/>
          <w:color w:val="auto"/>
          <w:sz w:val="32"/>
          <w:szCs w:val="32"/>
          <w:highlight w:val="none"/>
        </w:rPr>
        <w:t>（适用加工、定作、修理、测试、检验）</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rPr>
        <w:t>甲方：重庆机场集团有限公司</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pPr>
    </w:p>
    <w:p>
      <w:pPr>
        <w:adjustRightInd w:val="0"/>
        <w:snapToGrid w:val="0"/>
        <w:spacing w:line="360" w:lineRule="auto"/>
        <w:jc w:val="both"/>
        <w:rPr>
          <w:rFonts w:asciiTheme="minorEastAsia" w:hAnsiTheme="minorEastAsia" w:eastAsiaTheme="minorEastAsia"/>
          <w:color w:val="auto"/>
          <w:sz w:val="28"/>
          <w:szCs w:val="28"/>
          <w:highlight w:val="none"/>
        </w:rPr>
      </w:pPr>
    </w:p>
    <w:p>
      <w:pPr>
        <w:adjustRightInd w:val="0"/>
        <w:snapToGrid w:val="0"/>
        <w:spacing w:line="360" w:lineRule="auto"/>
        <w:jc w:val="center"/>
        <w:rPr>
          <w:rFonts w:asciiTheme="minorEastAsia" w:hAnsiTheme="minorEastAsia" w:eastAsiaTheme="minorEastAsia"/>
          <w:color w:val="auto"/>
          <w:sz w:val="28"/>
          <w:szCs w:val="28"/>
          <w:highlight w:val="none"/>
        </w:rPr>
        <w:sectPr>
          <w:footerReference r:id="rId8" w:type="first"/>
          <w:headerReference r:id="rId6" w:type="default"/>
          <w:footerReference r:id="rId7" w:type="default"/>
          <w:type w:val="continuous"/>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highlight w:val="none"/>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highlight w:val="none"/>
          <w:lang w:val="en-US" w:eastAsia="zh-CN" w:bidi="ar-SA"/>
        </w:rPr>
      </w:sdtEndPr>
      <w:sdtContent>
        <w:sdt>
          <w:sdtPr>
            <w:rPr>
              <w:rFonts w:ascii="宋体" w:hAnsi="宋体" w:eastAsia="宋体" w:cs="Times New Roman (正文 CS 字体)"/>
              <w:color w:val="auto"/>
              <w:kern w:val="2"/>
              <w:sz w:val="24"/>
              <w:szCs w:val="24"/>
              <w:highlight w:val="none"/>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highlight w:val="none"/>
              <w:lang w:val="zh-CN"/>
            </w:rPr>
          </w:sdtEndPr>
          <w:sdtContent>
            <w:p>
              <w:pPr>
                <w:pStyle w:val="33"/>
                <w:jc w:val="center"/>
                <w:rPr>
                  <w:rFonts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13"/>
                <w:tabs>
                  <w:tab w:val="right" w:leader="dot" w:pos="8290"/>
                </w:tabs>
                <w:ind w:left="480"/>
                <w:rPr>
                  <w:rFonts w:ascii="仿宋_GB2312" w:eastAsia="仿宋_GB2312" w:hAnsiTheme="minorHAnsi" w:cstheme="minorBidi"/>
                  <w:color w:val="auto"/>
                  <w:sz w:val="30"/>
                  <w:szCs w:val="30"/>
                  <w:highlight w:val="none"/>
                </w:rPr>
              </w:pP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TOC \o "1-3" \h \z \u </w:instrText>
              </w:r>
              <w:r>
                <w:rPr>
                  <w:rFonts w:hint="eastAsia" w:ascii="仿宋_GB2312" w:eastAsia="仿宋_GB2312"/>
                  <w:color w:val="auto"/>
                  <w:sz w:val="30"/>
                  <w:szCs w:val="30"/>
                  <w:highlight w:val="none"/>
                </w:rPr>
                <w:fldChar w:fldCharType="separate"/>
              </w:r>
              <w:r>
                <w:rPr>
                  <w:color w:val="auto"/>
                  <w:highlight w:val="none"/>
                </w:rPr>
                <w:fldChar w:fldCharType="begin"/>
              </w:r>
              <w:r>
                <w:rPr>
                  <w:color w:val="auto"/>
                  <w:highlight w:val="none"/>
                </w:rPr>
                <w:instrText xml:space="preserve"> HYPERLINK \l "_Toc24707255" </w:instrText>
              </w:r>
              <w:r>
                <w:rPr>
                  <w:color w:val="auto"/>
                  <w:highlight w:val="none"/>
                </w:rPr>
                <w:fldChar w:fldCharType="separate"/>
              </w:r>
              <w:r>
                <w:rPr>
                  <w:rStyle w:val="17"/>
                  <w:rFonts w:hint="eastAsia" w:ascii="仿宋_GB2312" w:eastAsia="仿宋_GB2312"/>
                  <w:color w:val="auto"/>
                  <w:sz w:val="30"/>
                  <w:szCs w:val="30"/>
                  <w:highlight w:val="none"/>
                </w:rPr>
                <w:t>第一条 项目名称</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"_Toc24707256" </w:instrText>
              </w:r>
              <w:r>
                <w:rPr>
                  <w:color w:val="auto"/>
                  <w:highlight w:val="none"/>
                </w:rPr>
                <w:fldChar w:fldCharType="separate"/>
              </w:r>
              <w:r>
                <w:rPr>
                  <w:rStyle w:val="17"/>
                  <w:rFonts w:hint="eastAsia" w:ascii="仿宋_GB2312" w:eastAsia="仿宋_GB2312"/>
                  <w:color w:val="auto"/>
                  <w:sz w:val="30"/>
                  <w:szCs w:val="30"/>
                  <w:highlight w:val="none"/>
                </w:rPr>
                <w:t>第二条 项目地点</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"_Toc24707257" </w:instrText>
              </w:r>
              <w:r>
                <w:rPr>
                  <w:color w:val="auto"/>
                  <w:highlight w:val="none"/>
                </w:rPr>
                <w:fldChar w:fldCharType="separate"/>
              </w:r>
              <w:r>
                <w:rPr>
                  <w:rStyle w:val="17"/>
                  <w:rFonts w:hint="eastAsia" w:ascii="仿宋_GB2312" w:eastAsia="仿宋_GB2312"/>
                  <w:color w:val="auto"/>
                  <w:sz w:val="30"/>
                  <w:szCs w:val="30"/>
                  <w:highlight w:val="none"/>
                </w:rPr>
                <w:t>第三条 项目内容和范围</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"_Toc24707258" </w:instrText>
              </w:r>
              <w:r>
                <w:rPr>
                  <w:color w:val="auto"/>
                  <w:highlight w:val="none"/>
                </w:rPr>
                <w:fldChar w:fldCharType="separate"/>
              </w:r>
              <w:r>
                <w:rPr>
                  <w:rStyle w:val="17"/>
                  <w:rFonts w:hint="eastAsia" w:ascii="仿宋_GB2312" w:eastAsia="仿宋_GB2312"/>
                  <w:color w:val="auto"/>
                  <w:sz w:val="30"/>
                  <w:szCs w:val="30"/>
                  <w:highlight w:val="none"/>
                </w:rPr>
                <w:t>第四条 项目工期</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"_Toc24707259" </w:instrText>
              </w:r>
              <w:r>
                <w:rPr>
                  <w:color w:val="auto"/>
                  <w:highlight w:val="none"/>
                </w:rPr>
                <w:fldChar w:fldCharType="separate"/>
              </w:r>
              <w:r>
                <w:rPr>
                  <w:rStyle w:val="17"/>
                  <w:rFonts w:hint="eastAsia" w:ascii="仿宋_GB2312" w:eastAsia="仿宋_GB2312"/>
                  <w:color w:val="auto"/>
                  <w:sz w:val="30"/>
                  <w:szCs w:val="30"/>
                  <w:highlight w:val="none"/>
                </w:rPr>
                <w:t>第五条  履约担保、质量保证</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_Toc24707259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3</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"_Toc24707260" </w:instrText>
              </w:r>
              <w:r>
                <w:rPr>
                  <w:color w:val="auto"/>
                  <w:highlight w:val="none"/>
                </w:rPr>
                <w:fldChar w:fldCharType="separate"/>
              </w:r>
              <w:r>
                <w:rPr>
                  <w:rStyle w:val="17"/>
                  <w:rFonts w:hint="eastAsia" w:ascii="仿宋_GB2312" w:eastAsia="仿宋_GB2312"/>
                  <w:color w:val="auto"/>
                  <w:sz w:val="30"/>
                  <w:szCs w:val="30"/>
                  <w:highlight w:val="none"/>
                </w:rPr>
                <w:t>第六条  合同价款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"_Toc24707261" </w:instrText>
              </w:r>
              <w:r>
                <w:rPr>
                  <w:color w:val="auto"/>
                  <w:highlight w:val="none"/>
                </w:rPr>
                <w:fldChar w:fldCharType="separate"/>
              </w:r>
              <w:r>
                <w:rPr>
                  <w:rStyle w:val="17"/>
                  <w:rFonts w:hint="eastAsia" w:ascii="仿宋_GB2312" w:eastAsia="仿宋_GB2312"/>
                  <w:color w:val="auto"/>
                  <w:sz w:val="30"/>
                  <w:szCs w:val="30"/>
                  <w:highlight w:val="none"/>
                </w:rPr>
                <w:t>第七条 付款方式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4</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"_Toc24707262" </w:instrText>
              </w:r>
              <w:r>
                <w:rPr>
                  <w:color w:val="auto"/>
                  <w:highlight w:val="none"/>
                </w:rPr>
                <w:fldChar w:fldCharType="separate"/>
              </w:r>
              <w:r>
                <w:rPr>
                  <w:rStyle w:val="17"/>
                  <w:rFonts w:hint="eastAsia" w:ascii="仿宋_GB2312" w:eastAsia="仿宋_GB2312"/>
                  <w:color w:val="auto"/>
                  <w:sz w:val="30"/>
                  <w:szCs w:val="30"/>
                  <w:highlight w:val="none"/>
                </w:rPr>
                <w:t>第八条  承揽要求</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"_Toc24707263" </w:instrText>
              </w:r>
              <w:r>
                <w:rPr>
                  <w:color w:val="auto"/>
                  <w:highlight w:val="none"/>
                </w:rPr>
                <w:fldChar w:fldCharType="separate"/>
              </w:r>
              <w:r>
                <w:rPr>
                  <w:rStyle w:val="17"/>
                  <w:rFonts w:hint="eastAsia" w:ascii="仿宋_GB2312" w:eastAsia="仿宋_GB2312"/>
                  <w:color w:val="auto"/>
                  <w:sz w:val="30"/>
                  <w:szCs w:val="30"/>
                  <w:highlight w:val="none"/>
                </w:rPr>
                <w:t>第九条  双方的权利与义务</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7"/>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"_Toc24707264" </w:instrText>
              </w:r>
              <w:r>
                <w:rPr>
                  <w:color w:val="auto"/>
                  <w:highlight w:val="none"/>
                </w:rPr>
                <w:fldChar w:fldCharType="separate"/>
              </w:r>
              <w:r>
                <w:rPr>
                  <w:rStyle w:val="17"/>
                  <w:rFonts w:hint="eastAsia" w:ascii="仿宋_GB2312" w:hAnsi="仿宋" w:eastAsia="仿宋_GB2312"/>
                  <w:color w:val="auto"/>
                  <w:sz w:val="30"/>
                  <w:szCs w:val="30"/>
                  <w:highlight w:val="none"/>
                  <w:shd w:val="clear" w:color="auto" w:fill="FFFFFF"/>
                </w:rPr>
                <w:t>9</w:t>
              </w:r>
              <w:r>
                <w:rPr>
                  <w:rStyle w:val="17"/>
                  <w:rFonts w:hint="eastAsia" w:ascii="仿宋_GB2312" w:hAnsi="仿宋" w:eastAsia="仿宋_GB2312"/>
                  <w:color w:val="auto"/>
                  <w:sz w:val="30"/>
                  <w:szCs w:val="30"/>
                  <w:highlight w:val="none"/>
                  <w:shd w:val="clear" w:color="auto" w:fill="FFFFFF"/>
                  <w:lang w:val="zh-CN"/>
                </w:rPr>
                <w:t>.1甲方权责：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5</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7"/>
                <w:tabs>
                  <w:tab w:val="right" w:leader="dot" w:pos="8290"/>
                </w:tabs>
                <w:ind w:left="96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"_Toc24707265" </w:instrText>
              </w:r>
              <w:r>
                <w:rPr>
                  <w:color w:val="auto"/>
                  <w:highlight w:val="none"/>
                </w:rPr>
                <w:fldChar w:fldCharType="separate"/>
              </w:r>
              <w:r>
                <w:rPr>
                  <w:rStyle w:val="17"/>
                  <w:rFonts w:hint="eastAsia" w:ascii="仿宋_GB2312" w:hAnsi="仿宋" w:eastAsia="仿宋_GB2312"/>
                  <w:color w:val="auto"/>
                  <w:sz w:val="30"/>
                  <w:szCs w:val="30"/>
                  <w:highlight w:val="none"/>
                  <w:shd w:val="clear" w:color="auto" w:fill="FFFFFF"/>
                  <w:lang w:val="zh-CN"/>
                </w:rPr>
                <w:t>9.2乙方权责：</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_Toc24707265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"_Toc24707266" </w:instrText>
              </w:r>
              <w:r>
                <w:rPr>
                  <w:color w:val="auto"/>
                  <w:highlight w:val="none"/>
                </w:rPr>
                <w:fldChar w:fldCharType="separate"/>
              </w:r>
              <w:r>
                <w:rPr>
                  <w:rStyle w:val="17"/>
                  <w:rFonts w:hint="eastAsia" w:ascii="仿宋_GB2312" w:eastAsia="仿宋_GB2312"/>
                  <w:color w:val="auto"/>
                  <w:sz w:val="30"/>
                  <w:szCs w:val="30"/>
                  <w:highlight w:val="none"/>
                </w:rPr>
                <w:t>第十条  成果验收标准和方法</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_Toc24707266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"_Toc24707267" </w:instrText>
              </w:r>
              <w:r>
                <w:rPr>
                  <w:color w:val="auto"/>
                  <w:highlight w:val="none"/>
                </w:rPr>
                <w:fldChar w:fldCharType="separate"/>
              </w:r>
              <w:r>
                <w:rPr>
                  <w:rStyle w:val="17"/>
                  <w:rFonts w:hint="eastAsia" w:ascii="仿宋_GB2312" w:eastAsia="仿宋_GB2312"/>
                  <w:color w:val="auto"/>
                  <w:sz w:val="30"/>
                  <w:szCs w:val="30"/>
                  <w:highlight w:val="none"/>
                </w:rPr>
                <w:t>第十一条  知识产权</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_Toc24707267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6</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"_Toc24707268" </w:instrText>
              </w:r>
              <w:r>
                <w:rPr>
                  <w:color w:val="auto"/>
                  <w:highlight w:val="none"/>
                </w:rPr>
                <w:fldChar w:fldCharType="separate"/>
              </w:r>
              <w:r>
                <w:rPr>
                  <w:rStyle w:val="17"/>
                  <w:rFonts w:hint="eastAsia" w:ascii="仿宋_GB2312" w:eastAsia="仿宋_GB2312"/>
                  <w:color w:val="auto"/>
                  <w:sz w:val="30"/>
                  <w:szCs w:val="30"/>
                  <w:highlight w:val="none"/>
                </w:rPr>
                <w:t>第十二条  违约责任</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_Toc24707268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"_Toc24707269" </w:instrText>
              </w:r>
              <w:r>
                <w:rPr>
                  <w:color w:val="auto"/>
                  <w:highlight w:val="none"/>
                </w:rPr>
                <w:fldChar w:fldCharType="separate"/>
              </w:r>
              <w:r>
                <w:rPr>
                  <w:rStyle w:val="17"/>
                  <w:rFonts w:hint="eastAsia" w:ascii="仿宋_GB2312" w:eastAsia="仿宋_GB2312"/>
                  <w:color w:val="auto"/>
                  <w:sz w:val="30"/>
                  <w:szCs w:val="30"/>
                  <w:highlight w:val="none"/>
                </w:rPr>
                <w:t>第十三条  争议解决方式</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_Toc24707269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7</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"_Toc24707270" </w:instrText>
              </w:r>
              <w:r>
                <w:rPr>
                  <w:color w:val="auto"/>
                  <w:highlight w:val="none"/>
                </w:rPr>
                <w:fldChar w:fldCharType="separate"/>
              </w:r>
              <w:r>
                <w:rPr>
                  <w:rStyle w:val="17"/>
                  <w:rFonts w:hint="eastAsia" w:ascii="仿宋_GB2312" w:eastAsia="仿宋_GB2312"/>
                  <w:color w:val="auto"/>
                  <w:sz w:val="30"/>
                  <w:szCs w:val="30"/>
                  <w:highlight w:val="none"/>
                </w:rPr>
                <w:t>第十四条  通知与送达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_Toc24707270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8</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"_Toc24707271" </w:instrText>
              </w:r>
              <w:r>
                <w:rPr>
                  <w:color w:val="auto"/>
                  <w:highlight w:val="none"/>
                </w:rPr>
                <w:fldChar w:fldCharType="separate"/>
              </w:r>
              <w:r>
                <w:rPr>
                  <w:rStyle w:val="17"/>
                  <w:rFonts w:hint="eastAsia" w:ascii="仿宋_GB2312" w:eastAsia="仿宋_GB2312"/>
                  <w:color w:val="auto"/>
                  <w:sz w:val="30"/>
                  <w:szCs w:val="30"/>
                  <w:highlight w:val="none"/>
                </w:rPr>
                <w:t>第十五条 不可抗力</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_Toc24707271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"_Toc24707272" </w:instrText>
              </w:r>
              <w:r>
                <w:rPr>
                  <w:color w:val="auto"/>
                  <w:highlight w:val="none"/>
                </w:rPr>
                <w:fldChar w:fldCharType="separate"/>
              </w:r>
              <w:r>
                <w:rPr>
                  <w:rStyle w:val="17"/>
                  <w:rFonts w:hint="eastAsia" w:ascii="仿宋_GB2312" w:eastAsia="仿宋_GB2312"/>
                  <w:color w:val="auto"/>
                  <w:sz w:val="30"/>
                  <w:szCs w:val="30"/>
                  <w:highlight w:val="none"/>
                </w:rPr>
                <w:t>第十六条  补充协议</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_Toc24707272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9</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"_Toc24707273" </w:instrText>
              </w:r>
              <w:r>
                <w:rPr>
                  <w:color w:val="auto"/>
                  <w:highlight w:val="none"/>
                </w:rPr>
                <w:fldChar w:fldCharType="separate"/>
              </w:r>
              <w:r>
                <w:rPr>
                  <w:rStyle w:val="17"/>
                  <w:rFonts w:hint="eastAsia" w:ascii="仿宋_GB2312" w:eastAsia="仿宋_GB2312"/>
                  <w:color w:val="auto"/>
                  <w:sz w:val="30"/>
                  <w:szCs w:val="30"/>
                  <w:highlight w:val="none"/>
                </w:rPr>
                <w:t>第十七条  保密条款</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_Toc24707273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pStyle w:val="13"/>
                <w:tabs>
                  <w:tab w:val="right" w:leader="dot" w:pos="8290"/>
                </w:tabs>
                <w:ind w:left="480"/>
                <w:rPr>
                  <w:rFonts w:ascii="仿宋_GB2312" w:eastAsia="仿宋_GB2312" w:hAnsiTheme="minorHAnsi" w:cstheme="minorBidi"/>
                  <w:color w:val="auto"/>
                  <w:sz w:val="30"/>
                  <w:szCs w:val="30"/>
                  <w:highlight w:val="none"/>
                </w:rPr>
              </w:pPr>
              <w:r>
                <w:rPr>
                  <w:color w:val="auto"/>
                  <w:highlight w:val="none"/>
                </w:rPr>
                <w:fldChar w:fldCharType="begin"/>
              </w:r>
              <w:r>
                <w:rPr>
                  <w:color w:val="auto"/>
                  <w:highlight w:val="none"/>
                </w:rPr>
                <w:instrText xml:space="preserve"> HYPERLINK \l "_Toc24707274" </w:instrText>
              </w:r>
              <w:r>
                <w:rPr>
                  <w:color w:val="auto"/>
                  <w:highlight w:val="none"/>
                </w:rPr>
                <w:fldChar w:fldCharType="separate"/>
              </w:r>
              <w:r>
                <w:rPr>
                  <w:rStyle w:val="17"/>
                  <w:rFonts w:hint="eastAsia" w:ascii="仿宋_GB2312" w:eastAsia="仿宋_GB2312"/>
                  <w:color w:val="auto"/>
                  <w:sz w:val="30"/>
                  <w:szCs w:val="30"/>
                  <w:highlight w:val="none"/>
                </w:rPr>
                <w:t>第十八条  其他</w:t>
              </w:r>
              <w:r>
                <w:rPr>
                  <w:rFonts w:hint="eastAsia" w:ascii="仿宋_GB2312" w:eastAsia="仿宋_GB2312"/>
                  <w:color w:val="auto"/>
                  <w:sz w:val="30"/>
                  <w:szCs w:val="30"/>
                  <w:highlight w:val="none"/>
                </w:rPr>
                <w:tab/>
              </w:r>
              <w:r>
                <w:rPr>
                  <w:rFonts w:hint="eastAsia" w:ascii="仿宋_GB2312" w:eastAsia="仿宋_GB2312"/>
                  <w:color w:val="auto"/>
                  <w:sz w:val="30"/>
                  <w:szCs w:val="30"/>
                  <w:highlight w:val="none"/>
                </w:rPr>
                <w:fldChar w:fldCharType="begin"/>
              </w:r>
              <w:r>
                <w:rPr>
                  <w:rFonts w:hint="eastAsia" w:ascii="仿宋_GB2312" w:eastAsia="仿宋_GB2312"/>
                  <w:color w:val="auto"/>
                  <w:sz w:val="30"/>
                  <w:szCs w:val="30"/>
                  <w:highlight w:val="none"/>
                </w:rPr>
                <w:instrText xml:space="preserve"> PAGEREF _Toc24707274 \h </w:instrText>
              </w:r>
              <w:r>
                <w:rPr>
                  <w:rFonts w:hint="eastAsia" w:ascii="仿宋_GB2312" w:eastAsia="仿宋_GB2312"/>
                  <w:color w:val="auto"/>
                  <w:sz w:val="30"/>
                  <w:szCs w:val="30"/>
                  <w:highlight w:val="none"/>
                </w:rPr>
                <w:fldChar w:fldCharType="separate"/>
              </w:r>
              <w:r>
                <w:rPr>
                  <w:rFonts w:hint="eastAsia" w:ascii="仿宋_GB2312" w:eastAsia="仿宋_GB2312"/>
                  <w:color w:val="auto"/>
                  <w:sz w:val="30"/>
                  <w:szCs w:val="30"/>
                  <w:highlight w:val="none"/>
                </w:rPr>
                <w:t>10</w:t>
              </w:r>
              <w:r>
                <w:rPr>
                  <w:rFonts w:hint="eastAsia" w:ascii="仿宋_GB2312" w:eastAsia="仿宋_GB2312"/>
                  <w:color w:val="auto"/>
                  <w:sz w:val="30"/>
                  <w:szCs w:val="30"/>
                  <w:highlight w:val="none"/>
                </w:rPr>
                <w:fldChar w:fldCharType="end"/>
              </w:r>
              <w:r>
                <w:rPr>
                  <w:rFonts w:hint="eastAsia" w:ascii="仿宋_GB2312" w:eastAsia="仿宋_GB2312"/>
                  <w:color w:val="auto"/>
                  <w:sz w:val="30"/>
                  <w:szCs w:val="30"/>
                  <w:highlight w:val="none"/>
                </w:rPr>
                <w:fldChar w:fldCharType="end"/>
              </w:r>
            </w:p>
            <w:p>
              <w:pPr>
                <w:spacing w:line="520" w:lineRule="exact"/>
                <w:jc w:val="center"/>
                <w:rPr>
                  <w:rFonts w:ascii="宋体" w:hAnsi="宋体" w:eastAsia="宋体" w:cs="Times New Roman (正文 CS 字体)"/>
                  <w:b/>
                  <w:bCs/>
                  <w:color w:val="auto"/>
                  <w:kern w:val="2"/>
                  <w:sz w:val="24"/>
                  <w:szCs w:val="24"/>
                  <w:highlight w:val="none"/>
                  <w:lang w:val="zh-CN"/>
                </w:rPr>
              </w:pPr>
              <w:r>
                <w:rPr>
                  <w:rFonts w:hint="eastAsia" w:ascii="仿宋_GB2312" w:eastAsia="仿宋_GB2312"/>
                  <w:b/>
                  <w:bCs/>
                  <w:color w:val="auto"/>
                  <w:sz w:val="30"/>
                  <w:szCs w:val="30"/>
                  <w:highlight w:val="none"/>
                  <w:lang w:val="zh-CN"/>
                </w:rPr>
                <w:fldChar w:fldCharType="end"/>
              </w:r>
            </w:p>
          </w:sdtContent>
        </w:sdt>
        <w:p>
          <w:pPr>
            <w:pStyle w:val="29"/>
            <w:spacing w:before="0" w:beforeAutospacing="0" w:after="0" w:afterAutospacing="0"/>
            <w:ind w:firstLine="420" w:firstLineChars="200"/>
            <w:rPr>
              <w:color w:val="auto"/>
              <w:highlight w:val="none"/>
            </w:rPr>
          </w:pPr>
        </w:p>
      </w:sdtContent>
    </w:sdt>
    <w:p>
      <w:pPr>
        <w:ind w:firstLine="602" w:firstLineChars="200"/>
        <w:rPr>
          <w:rFonts w:hint="eastAsia" w:ascii="仿宋_GB2312" w:hAnsi="仿宋" w:eastAsia="仿宋_GB2312" w:cs="宋体"/>
          <w:b/>
          <w:bCs/>
          <w:color w:val="auto"/>
          <w:kern w:val="2"/>
          <w:sz w:val="30"/>
          <w:szCs w:val="30"/>
          <w:highlight w:val="none"/>
          <w:lang w:val="en-US" w:eastAsia="zh-CN" w:bidi="ar-SA"/>
        </w:rPr>
      </w:pPr>
      <w:r>
        <w:rPr>
          <w:rFonts w:hint="eastAsia" w:ascii="仿宋_GB2312" w:hAnsi="仿宋" w:eastAsia="仿宋_GB2312" w:cs="宋体"/>
          <w:b/>
          <w:bCs/>
          <w:color w:val="auto"/>
          <w:kern w:val="2"/>
          <w:sz w:val="30"/>
          <w:szCs w:val="30"/>
          <w:highlight w:val="none"/>
          <w:lang w:val="en-US" w:eastAsia="zh-CN" w:bidi="ar-SA"/>
        </w:rPr>
        <w:t>甲方：重庆机场集团有限公司</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统一社会信用代码：91500000756209971P</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通讯地址：重庆市渝北区两路镇江北国际机场内</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 xml:space="preserve">法定代表人或委托代理人：谭平川  </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联系电话：67151249</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邮箱地址：410396296@qq.com</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开户银行： 建行重庆渝北机场支行</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开户名称：重庆机场集团有限公司</w:t>
      </w: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账号：50001083800050000447</w:t>
      </w:r>
    </w:p>
    <w:p>
      <w:pPr>
        <w:pStyle w:val="29"/>
        <w:spacing w:before="0" w:beforeAutospacing="0" w:after="0" w:afterAutospacing="0"/>
        <w:ind w:firstLine="602"/>
        <w:rPr>
          <w:rFonts w:hint="eastAsia" w:cs="宋体"/>
          <w:b/>
          <w:bCs/>
          <w:color w:val="auto"/>
          <w:highlight w:val="none"/>
        </w:rPr>
      </w:pPr>
    </w:p>
    <w:p>
      <w:pPr>
        <w:pStyle w:val="29"/>
        <w:spacing w:before="0" w:beforeAutospacing="0" w:after="0" w:afterAutospacing="0"/>
        <w:ind w:firstLine="602"/>
        <w:rPr>
          <w:rFonts w:hint="eastAsia" w:cs="宋体"/>
          <w:b/>
          <w:bCs/>
          <w:color w:val="auto"/>
          <w:highlight w:val="none"/>
        </w:rPr>
      </w:pPr>
      <w:r>
        <w:rPr>
          <w:rFonts w:hint="eastAsia" w:cs="宋体"/>
          <w:b/>
          <w:bCs/>
          <w:color w:val="auto"/>
          <w:highlight w:val="none"/>
        </w:rPr>
        <w:t>乙方：</w:t>
      </w:r>
    </w:p>
    <w:p>
      <w:pPr>
        <w:pStyle w:val="29"/>
        <w:ind w:firstLine="602"/>
        <w:rPr>
          <w:b/>
          <w:bCs/>
          <w:color w:val="auto"/>
          <w:highlight w:val="none"/>
        </w:rPr>
      </w:pPr>
      <w:r>
        <w:rPr>
          <w:rFonts w:hint="eastAsia"/>
          <w:b/>
          <w:bCs/>
          <w:color w:val="auto"/>
          <w:highlight w:val="none"/>
        </w:rPr>
        <w:t>统一社会信用代码：</w:t>
      </w:r>
    </w:p>
    <w:p>
      <w:pPr>
        <w:pStyle w:val="29"/>
        <w:ind w:firstLine="602"/>
        <w:rPr>
          <w:b/>
          <w:bCs/>
          <w:color w:val="auto"/>
          <w:highlight w:val="none"/>
        </w:rPr>
      </w:pPr>
      <w:r>
        <w:rPr>
          <w:b/>
          <w:bCs/>
          <w:color w:val="auto"/>
          <w:highlight w:val="none"/>
        </w:rPr>
        <w:t>通讯地址：</w:t>
      </w:r>
    </w:p>
    <w:p>
      <w:pPr>
        <w:pStyle w:val="29"/>
        <w:ind w:firstLine="602"/>
        <w:rPr>
          <w:b/>
          <w:bCs/>
          <w:color w:val="auto"/>
          <w:highlight w:val="none"/>
        </w:rPr>
      </w:pPr>
      <w:r>
        <w:rPr>
          <w:b/>
          <w:bCs/>
          <w:color w:val="auto"/>
          <w:highlight w:val="none"/>
        </w:rPr>
        <w:t xml:space="preserve">法定代表人或委托代理人： </w:t>
      </w:r>
    </w:p>
    <w:p>
      <w:pPr>
        <w:pStyle w:val="29"/>
        <w:ind w:firstLine="602"/>
        <w:rPr>
          <w:b/>
          <w:bCs/>
          <w:color w:val="auto"/>
          <w:highlight w:val="none"/>
        </w:rPr>
      </w:pPr>
      <w:r>
        <w:rPr>
          <w:b/>
          <w:bCs/>
          <w:color w:val="auto"/>
          <w:highlight w:val="none"/>
        </w:rPr>
        <w:t>邮政编码：</w:t>
      </w:r>
    </w:p>
    <w:p>
      <w:pPr>
        <w:pStyle w:val="29"/>
        <w:ind w:firstLine="602"/>
        <w:rPr>
          <w:b/>
          <w:bCs/>
          <w:color w:val="auto"/>
          <w:highlight w:val="none"/>
        </w:rPr>
      </w:pPr>
      <w:r>
        <w:rPr>
          <w:b/>
          <w:bCs/>
          <w:color w:val="auto"/>
          <w:highlight w:val="none"/>
        </w:rPr>
        <w:t>联系电话：</w:t>
      </w:r>
    </w:p>
    <w:p>
      <w:pPr>
        <w:pStyle w:val="29"/>
        <w:ind w:firstLine="602" w:firstLineChars="200"/>
        <w:rPr>
          <w:rFonts w:hint="eastAsia" w:ascii="宋体" w:hAnsi="宋体" w:eastAsia="仿宋_GB2312"/>
          <w:bCs/>
          <w:color w:val="auto"/>
          <w:sz w:val="28"/>
          <w:szCs w:val="28"/>
          <w:highlight w:val="none"/>
          <w:lang w:eastAsia="zh-CN"/>
        </w:rPr>
      </w:pPr>
      <w:r>
        <w:rPr>
          <w:b/>
          <w:bCs/>
          <w:color w:val="auto"/>
          <w:highlight w:val="none"/>
        </w:rPr>
        <w:t>邮箱地址</w:t>
      </w:r>
      <w:r>
        <w:rPr>
          <w:rFonts w:hint="eastAsia"/>
          <w:b/>
          <w:bCs/>
          <w:color w:val="auto"/>
          <w:highlight w:val="none"/>
          <w:lang w:eastAsia="zh-CN"/>
        </w:rPr>
        <w:t>：</w:t>
      </w:r>
    </w:p>
    <w:p>
      <w:pPr>
        <w:rPr>
          <w:rStyle w:val="34"/>
          <w:rFonts w:hint="eastAsia"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br w:type="page"/>
      </w:r>
    </w:p>
    <w:p>
      <w:pPr>
        <w:pStyle w:val="29"/>
        <w:ind w:firstLine="600"/>
        <w:rPr>
          <w:rStyle w:val="34"/>
          <w:rFonts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rPr>
        <w:t>依照《中华人民共和国</w:t>
      </w:r>
      <w:r>
        <w:rPr>
          <w:rStyle w:val="34"/>
          <w:rFonts w:hint="eastAsia" w:ascii="仿宋_GB2312" w:hAnsi="仿宋" w:eastAsia="仿宋_GB2312" w:cs="宋体"/>
          <w:color w:val="auto"/>
          <w:highlight w:val="none"/>
          <w:u w:val="none"/>
          <w:shd w:val="clear" w:color="auto" w:fill="auto"/>
          <w:lang w:val="en-US" w:eastAsia="zh-CN"/>
        </w:rPr>
        <w:t>民法典</w:t>
      </w:r>
      <w:r>
        <w:rPr>
          <w:rStyle w:val="34"/>
          <w:rFonts w:hint="eastAsia" w:ascii="仿宋_GB2312" w:hAnsi="仿宋" w:eastAsia="仿宋_GB2312" w:cs="宋体"/>
          <w:color w:val="auto"/>
          <w:highlight w:val="none"/>
          <w:u w:val="none"/>
          <w:shd w:val="clear" w:color="auto" w:fill="auto"/>
        </w:rPr>
        <w:t>》等有关法律、法规，就乙方承揽甲方</w:t>
      </w:r>
      <w:r>
        <w:rPr>
          <w:rStyle w:val="34"/>
          <w:rFonts w:hint="eastAsia" w:ascii="Times New Roman" w:hAnsi="Times New Roman" w:eastAsia="仿宋_GB2312" w:cs="Times New Roman"/>
          <w:color w:val="auto"/>
          <w:highlight w:val="none"/>
          <w:u w:val="none"/>
          <w:shd w:val="clear" w:color="auto" w:fill="auto"/>
        </w:rPr>
        <w:t>东区热水锅炉维护保养项目</w:t>
      </w:r>
      <w:r>
        <w:rPr>
          <w:rStyle w:val="34"/>
          <w:rFonts w:hint="eastAsia" w:ascii="仿宋_GB2312" w:hAnsi="仿宋" w:eastAsia="仿宋_GB2312" w:cs="宋体"/>
          <w:color w:val="auto"/>
          <w:highlight w:val="none"/>
          <w:u w:val="none"/>
          <w:shd w:val="clear" w:color="auto" w:fill="auto"/>
        </w:rPr>
        <w:t>事宜（以下称项目），双方经充分平等协商，达成本协议。</w:t>
      </w:r>
    </w:p>
    <w:p>
      <w:pPr>
        <w:pStyle w:val="4"/>
        <w:ind w:firstLine="640"/>
        <w:rPr>
          <w:rStyle w:val="34"/>
          <w:rFonts w:ascii="仿宋" w:hAnsi="仿宋" w:eastAsia="黑体" w:cs="Times New Roman"/>
          <w:color w:val="auto"/>
          <w:sz w:val="32"/>
          <w:szCs w:val="24"/>
          <w:highlight w:val="none"/>
          <w:u w:val="none"/>
          <w:shd w:val="clear" w:color="auto" w:fill="auto"/>
        </w:rPr>
      </w:pPr>
      <w:bookmarkStart w:id="24" w:name="_Toc24707255"/>
      <w:r>
        <w:rPr>
          <w:rStyle w:val="34"/>
          <w:rFonts w:hint="eastAsia" w:ascii="仿宋" w:hAnsi="仿宋" w:eastAsia="黑体" w:cs="Times New Roman"/>
          <w:color w:val="auto"/>
          <w:sz w:val="32"/>
          <w:szCs w:val="24"/>
          <w:highlight w:val="none"/>
          <w:u w:val="none"/>
          <w:shd w:val="clear" w:color="auto" w:fill="auto"/>
        </w:rPr>
        <w:t>第一条 项目名称</w:t>
      </w:r>
      <w:bookmarkEnd w:id="24"/>
      <w:bookmarkStart w:id="25" w:name="_Hlk9437057"/>
    </w:p>
    <w:p>
      <w:pPr>
        <w:pStyle w:val="29"/>
        <w:ind w:firstLine="480"/>
        <w:rPr>
          <w:color w:val="auto"/>
          <w:highlight w:val="none"/>
          <w:u w:val="none"/>
        </w:rPr>
      </w:pPr>
      <w:r>
        <w:rPr>
          <w:rStyle w:val="34"/>
          <w:rFonts w:ascii="仿宋" w:eastAsia="仿宋"/>
          <w:color w:val="auto"/>
          <w:sz w:val="24"/>
          <w:szCs w:val="24"/>
          <w:highlight w:val="none"/>
          <w:u w:val="none"/>
          <w:lang w:val="zh-CN"/>
        </w:rPr>
        <w:t xml:space="preserve"> </w:t>
      </w:r>
      <w:r>
        <w:rPr>
          <w:rStyle w:val="34"/>
          <w:rFonts w:hint="default" w:ascii="仿宋_GB2312" w:hAnsi="仿宋" w:eastAsia="仿宋_GB2312" w:cs="宋体"/>
          <w:color w:val="auto"/>
          <w:highlight w:val="none"/>
          <w:u w:val="none"/>
          <w:shd w:val="clear" w:color="auto" w:fill="auto"/>
        </w:rPr>
        <w:t>东区热水锅炉维护保养项目</w:t>
      </w:r>
      <w:r>
        <w:rPr>
          <w:rStyle w:val="34"/>
          <w:rFonts w:hint="eastAsia" w:ascii="仿宋_GB2312" w:hAnsi="仿宋" w:eastAsia="仿宋_GB2312" w:cs="宋体"/>
          <w:color w:val="auto"/>
          <w:highlight w:val="none"/>
          <w:u w:val="none"/>
          <w:shd w:val="clear" w:color="auto" w:fill="auto"/>
        </w:rPr>
        <w:t>。</w:t>
      </w:r>
    </w:p>
    <w:bookmarkEnd w:id="25"/>
    <w:p>
      <w:pPr>
        <w:pStyle w:val="4"/>
        <w:ind w:firstLine="640"/>
        <w:rPr>
          <w:rStyle w:val="34"/>
          <w:rFonts w:ascii="仿宋" w:hAnsi="仿宋" w:eastAsia="黑体" w:cs="Times New Roman"/>
          <w:color w:val="auto"/>
          <w:sz w:val="32"/>
          <w:szCs w:val="24"/>
          <w:highlight w:val="none"/>
          <w:u w:val="none"/>
          <w:shd w:val="clear" w:color="auto" w:fill="auto"/>
        </w:rPr>
      </w:pPr>
      <w:bookmarkStart w:id="26" w:name="_Toc24707256"/>
      <w:r>
        <w:rPr>
          <w:rStyle w:val="34"/>
          <w:rFonts w:hint="eastAsia" w:ascii="仿宋" w:hAnsi="仿宋" w:eastAsia="黑体" w:cs="Times New Roman"/>
          <w:color w:val="auto"/>
          <w:sz w:val="32"/>
          <w:szCs w:val="24"/>
          <w:highlight w:val="none"/>
          <w:u w:val="none"/>
          <w:shd w:val="clear" w:color="auto" w:fill="auto"/>
        </w:rPr>
        <w:t>第二条 项目地点</w:t>
      </w:r>
      <w:bookmarkEnd w:id="26"/>
    </w:p>
    <w:p>
      <w:pPr>
        <w:pStyle w:val="29"/>
        <w:ind w:firstLine="600"/>
        <w:rPr>
          <w:rStyle w:val="34"/>
          <w:rFonts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lang w:val="en-US" w:eastAsia="zh-CN"/>
        </w:rPr>
        <w:t>重庆市渝北区两路镇机场东路30号（动力能源保障部）</w:t>
      </w:r>
      <w:r>
        <w:rPr>
          <w:rStyle w:val="34"/>
          <w:rFonts w:hint="eastAsia" w:ascii="仿宋_GB2312" w:hAnsi="仿宋" w:eastAsia="仿宋_GB2312" w:cs="宋体"/>
          <w:color w:val="auto"/>
          <w:highlight w:val="none"/>
          <w:u w:val="none"/>
          <w:shd w:val="clear" w:color="auto" w:fill="auto"/>
        </w:rPr>
        <w:t>。</w:t>
      </w:r>
    </w:p>
    <w:p>
      <w:pPr>
        <w:pStyle w:val="4"/>
        <w:ind w:firstLine="640"/>
        <w:rPr>
          <w:color w:val="auto"/>
          <w:highlight w:val="none"/>
          <w:u w:val="none"/>
        </w:rPr>
      </w:pPr>
      <w:bookmarkStart w:id="27" w:name="_Toc24707257"/>
      <w:r>
        <w:rPr>
          <w:rStyle w:val="34"/>
          <w:rFonts w:hint="eastAsia" w:ascii="仿宋" w:hAnsi="仿宋" w:eastAsia="黑体" w:cs="Times New Roman"/>
          <w:color w:val="auto"/>
          <w:sz w:val="32"/>
          <w:szCs w:val="24"/>
          <w:highlight w:val="none"/>
          <w:u w:val="none"/>
          <w:shd w:val="clear" w:color="auto" w:fill="auto"/>
        </w:rPr>
        <w:t>第三条</w:t>
      </w:r>
      <w:r>
        <w:rPr>
          <w:rStyle w:val="34"/>
          <w:rFonts w:ascii="仿宋" w:hAnsi="仿宋" w:eastAsia="黑体" w:cs="Times New Roman"/>
          <w:color w:val="auto"/>
          <w:sz w:val="32"/>
          <w:szCs w:val="24"/>
          <w:highlight w:val="none"/>
          <w:u w:val="none"/>
          <w:shd w:val="clear" w:color="auto" w:fill="auto"/>
        </w:rPr>
        <w:t xml:space="preserve"> </w:t>
      </w:r>
      <w:r>
        <w:rPr>
          <w:rStyle w:val="34"/>
          <w:rFonts w:hint="eastAsia" w:ascii="仿宋" w:hAnsi="仿宋" w:eastAsia="黑体" w:cs="Times New Roman"/>
          <w:color w:val="auto"/>
          <w:sz w:val="32"/>
          <w:szCs w:val="24"/>
          <w:highlight w:val="none"/>
          <w:u w:val="none"/>
          <w:shd w:val="clear" w:color="auto" w:fill="auto"/>
        </w:rPr>
        <w:t>项目内容和范围</w:t>
      </w:r>
      <w:bookmarkEnd w:id="27"/>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cs="宋体"/>
          <w:color w:val="auto"/>
          <w:highlight w:val="none"/>
          <w:u w:val="none"/>
          <w:shd w:val="clear" w:color="auto" w:fill="auto"/>
          <w:lang w:val="en-US" w:eastAsia="zh-CN"/>
        </w:rPr>
        <w:t>1</w:t>
      </w:r>
      <w:r>
        <w:rPr>
          <w:rStyle w:val="34"/>
          <w:rFonts w:hint="eastAsia" w:ascii="仿宋_GB2312" w:hAnsi="仿宋" w:eastAsia="仿宋_GB2312" w:cs="宋体"/>
          <w:color w:val="auto"/>
          <w:highlight w:val="none"/>
          <w:u w:val="none"/>
          <w:shd w:val="clear" w:color="auto" w:fill="auto"/>
          <w:lang w:val="en-US" w:eastAsia="zh-CN"/>
        </w:rPr>
        <w:t>.维护保养内容</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1.1耐火泥维修</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按照锅炉使用的相关技术规范，进行9台锅炉炉膛内耐火泥检查，根据检查情况进行修补，同时对东区航站楼能源站6台锅炉防爆门处的火孔砖与堵头进行重做更换。</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1.2锅炉水室及炉膛清洗</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1.2.1水室清洗</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对锅炉水室进行化学清洗，清洗前需自行在特检局报备、告知。</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1.2.2炉膛清洗</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（1）清洗烟管、炉膛，确保烟管、炉膛干净无烟垢、积碳等残余物；</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（2）检查炉膛、烟管有无异常变形，严重腐蚀等异常情况；</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（3）清洗结束更换锅炉烟箱密封组件，恢复保温层。</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1.2.3排水管、冷凝水管清洗</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通过疏通清洗，确保排水管、冷凝水管畅通</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1.2.4更换前烟箱密封件</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采用专用密封条密封烟箱，确保烟箱无漏风漏烟。</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1.3烟囱修复</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1.3.1拆卸9台锅炉排烟横向烟囱外层不锈钢皮和保温材料；</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1.3.2用氩弧焊对内外层不锈钢装饰拼接处进行重新焊接；</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1.3.3对东区配套区能源站3台锅炉烟囱表面修补并对立管取样口进行围焊；</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1.3.4恢复外层不锈钢皮和保温材料；</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1.3.5对烟囱底部排污管道进行重新改造；</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1.3.6进行检漏实验，确保烟道安全、无漏水、滴水现象。</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1.4锅炉控制系统维护</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1.4.1检查控制系统供电情况，24v开关电源校正；</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1.4.2检查控制柜各控制器、接触器的接线，检查触点接触是否良好；</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1.4.3检查各部件电源线是否有老化或损坏现象，检查模块通讯线路，cpu和触摸屏的通讯线路及插口；</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1.4.4对温度传感器、压力传感器做模拟试验，检测安全保护性能；</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1.4.5检查触摸屏和CPU电池使用情况；</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1.4.6锅炉跳压试验，确保压力过高时，安全阀动作，保护正常；</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1.4.7燃烧压力低、压力高和阀组泄漏试验，出现故障报警停炉，保护正常。</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1.5.锅炉软水及给水系统维护</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1.5.1检查树脂罐控制器设置，调整再生参数；</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1.5.2更换4罐离子树脂罐的离子树脂，恢复树脂罐的活性；</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1.5.3软水盐箱清洗和吸盐控制阀及其筛孔清洗。</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1.6施工人员从事机组维护保养相关工作需持相应的司炉证、焊工证与低压电工证。</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1.7本项目的报价应包括：耐火泥、润滑油等材料以及涉及到的其他所有费用，以及近两年内售后维修服务所产生的费用。本项目报价为包干价，不再另行增加费用。</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2.项目要求</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2.1耐火泥使用材料要求；</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2.1.1维修材料拟选用微膨胀耐火可塑料；</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2.1.2耐火可塑料理化指标（主要指烘干后强度）符合下表规定：</w:t>
      </w:r>
    </w:p>
    <w:tbl>
      <w:tblPr>
        <w:tblStyle w:val="18"/>
        <w:tblW w:w="9328"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599"/>
        <w:gridCol w:w="1672"/>
        <w:gridCol w:w="1672"/>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1041"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品种</w:t>
            </w:r>
          </w:p>
        </w:tc>
        <w:tc>
          <w:tcPr>
            <w:tcW w:w="1599"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110±5℃烘干后耐压强度（MPa）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110±5℃烘干后抗折强度（MPa）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1300℃×2h烧后耐压强度（MPa）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1300℃×2h烧后抗折强度（MPa）</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1300℃×2h烧后线变化率（％）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1041"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耐火可塑料</w:t>
            </w:r>
          </w:p>
        </w:tc>
        <w:tc>
          <w:tcPr>
            <w:tcW w:w="1599" w:type="dxa"/>
            <w:vAlign w:val="center"/>
          </w:tcPr>
          <w:p>
            <w:pPr>
              <w:spacing w:line="348" w:lineRule="auto"/>
              <w:ind w:right="71" w:rightChars="34" w:firstLine="800" w:firstLineChars="250"/>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≥30</w:t>
            </w:r>
          </w:p>
        </w:tc>
        <w:tc>
          <w:tcPr>
            <w:tcW w:w="1672" w:type="dxa"/>
            <w:vAlign w:val="center"/>
          </w:tcPr>
          <w:p>
            <w:pPr>
              <w:spacing w:line="348" w:lineRule="auto"/>
              <w:ind w:right="71" w:rightChars="34" w:firstLine="800" w:firstLineChars="250"/>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＞4</w:t>
            </w:r>
          </w:p>
        </w:tc>
        <w:tc>
          <w:tcPr>
            <w:tcW w:w="1672" w:type="dxa"/>
            <w:vAlign w:val="center"/>
          </w:tcPr>
          <w:p>
            <w:pPr>
              <w:spacing w:line="348" w:lineRule="auto"/>
              <w:ind w:right="71" w:rightChars="34"/>
              <w:jc w:val="center"/>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≥20</w:t>
            </w:r>
          </w:p>
        </w:tc>
        <w:tc>
          <w:tcPr>
            <w:tcW w:w="1672" w:type="dxa"/>
            <w:vAlign w:val="center"/>
          </w:tcPr>
          <w:p>
            <w:pPr>
              <w:spacing w:line="348" w:lineRule="auto"/>
              <w:ind w:right="71" w:rightChars="34" w:firstLine="800" w:firstLineChars="250"/>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＞3</w:t>
            </w:r>
          </w:p>
        </w:tc>
        <w:tc>
          <w:tcPr>
            <w:tcW w:w="1672" w:type="dxa"/>
            <w:vAlign w:val="center"/>
          </w:tcPr>
          <w:p>
            <w:pPr>
              <w:spacing w:line="348" w:lineRule="auto"/>
              <w:ind w:right="71" w:rightChars="34" w:firstLine="800" w:firstLineChars="250"/>
              <w:rPr>
                <w:rFonts w:ascii="仿宋" w:hAnsi="仿宋" w:eastAsia="仿宋" w:cs="仿宋"/>
                <w:bCs/>
                <w:color w:val="auto"/>
                <w:sz w:val="32"/>
                <w:szCs w:val="32"/>
                <w:highlight w:val="none"/>
                <w:u w:val="none"/>
              </w:rPr>
            </w:pPr>
            <w:r>
              <w:rPr>
                <w:rFonts w:hint="eastAsia" w:ascii="仿宋" w:hAnsi="仿宋" w:eastAsia="仿宋" w:cs="仿宋"/>
                <w:bCs/>
                <w:color w:val="auto"/>
                <w:sz w:val="32"/>
                <w:szCs w:val="32"/>
                <w:highlight w:val="none"/>
                <w:u w:val="none"/>
              </w:rPr>
              <w:t>＜-0.5</w:t>
            </w:r>
          </w:p>
        </w:tc>
      </w:tr>
    </w:tbl>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2.2耐火泥修复施工方法</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2.2.1拆除后部防爆门，打开锅炉前后烟箱；</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2.2.2施工前，将施工表面清理干净，使之无油、铁锈、焊渣等杂物；</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2.2.3耐火可塑料严格按照下述配比（重量比）进行充分混料：</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耐火可塑料集料：促凝剂：粘接剂＝100：2～4：10～11；</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耐火可塑料集料重量偏差不超过2％，促凝剂重量偏差不超过1％。促凝剂的加入量可视施工情况适当调节，搅伴时待干料拌和均匀后，逐渐加入粘合剂，充分搅拌均匀至符合施工要求为止；</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2.2.4耐火可塑料施工宜连续进行，且应随搅拌随浇注，即搅拌好的耐火可塑料存放时间不得超过15分钟；</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2.2.5对于原耐火泥疏松部位应轻敲使其脱落，然后用耐火可塑料实施修补；</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2.2.6耐火可塑料自然干燥养护时，不少于三昼夜；</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2.2.7如采用模板时，在正常干燥的养护条件下，允许的脱模时间不少于两小时。</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2.2.8耐火可塑料干燥养护完毕后恢复后部防爆门。</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2.3水室清洗单位对化学清洗的质量负责，及时做好有关锅炉化学清洗的施工记录，妥善保存锅炉资料和见证材料，在化学清洗竣工后应当按照《条例》规定，在30日内将有关技术资料完整移交给锅炉使用单位存档。</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2.4施工安全要求</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2.4.1施工前，施工单位应对施工现场进行勘查。</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2.4.2施工时，动力能源保障部暖通中心负责检查工程施工材料及设备是否与提供的设备清单一致。</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2.4.3进入炉膛施工时，严格按照动力能源保障部受限空间相关规定，提前填写受限空间作业申请表，并在上级完成审批后方可进入施工。</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2.4.4维护电气设备时应做好验电工作，确保在停电状态下进行维保工作。</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2.4.5维护保养必须做好安全措施，施工中使用的个人工具、电动工具必须符合安全工作规程的要求，且按正确方法使用。</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2.4.6应做好高空作业的保护措施。</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3.安全责任要求</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3.1维保过程中若要动火、动焊施工需遵守重庆机场集团有限公司消防管理规定，并接受项目单位监督。</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3.2承揽方在作业过程中发生的任何安全事故，责任由承揽方自行承担。</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4.验收要求</w:t>
      </w:r>
    </w:p>
    <w:p>
      <w:pPr>
        <w:pStyle w:val="29"/>
        <w:ind w:firstLine="600"/>
        <w:rPr>
          <w:rStyle w:val="34"/>
          <w:rFonts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lang w:val="en-US" w:eastAsia="zh-CN"/>
        </w:rPr>
        <w:t>项目完工后，由乙方向甲方提出验收申请并提供甲方锅炉、水质在运行中的参数和报告，所有项目符合TSG G0001-2012 《锅炉安全技术监察规程》标准且锅炉运行两周无问题即验收合格。</w:t>
      </w:r>
      <w:r>
        <w:rPr>
          <w:rStyle w:val="34"/>
          <w:rFonts w:ascii="仿宋_GB2312" w:hAnsi="仿宋" w:eastAsia="仿宋_GB2312" w:cs="宋体"/>
          <w:color w:val="auto"/>
          <w:highlight w:val="none"/>
          <w:u w:val="none"/>
          <w:shd w:val="clear" w:color="auto" w:fill="auto"/>
        </w:rPr>
        <w:t xml:space="preserve"> </w:t>
      </w:r>
    </w:p>
    <w:p>
      <w:pPr>
        <w:pStyle w:val="4"/>
        <w:ind w:firstLine="640"/>
        <w:rPr>
          <w:rStyle w:val="34"/>
          <w:rFonts w:ascii="仿宋" w:hAnsi="仿宋" w:eastAsia="黑体" w:cs="Times New Roman"/>
          <w:color w:val="auto"/>
          <w:sz w:val="32"/>
          <w:szCs w:val="24"/>
          <w:highlight w:val="none"/>
          <w:u w:val="none"/>
          <w:shd w:val="clear" w:color="auto" w:fill="auto"/>
        </w:rPr>
      </w:pPr>
      <w:bookmarkStart w:id="28" w:name="_Toc24707258"/>
      <w:r>
        <w:rPr>
          <w:rStyle w:val="34"/>
          <w:rFonts w:hint="eastAsia" w:ascii="仿宋" w:hAnsi="仿宋" w:eastAsia="黑体" w:cs="Times New Roman"/>
          <w:color w:val="auto"/>
          <w:sz w:val="32"/>
          <w:szCs w:val="24"/>
          <w:highlight w:val="none"/>
          <w:u w:val="none"/>
          <w:shd w:val="clear" w:color="auto" w:fill="auto"/>
        </w:rPr>
        <w:t>第四条 项目工期</w:t>
      </w:r>
      <w:bookmarkEnd w:id="28"/>
    </w:p>
    <w:p>
      <w:pPr>
        <w:pStyle w:val="29"/>
        <w:ind w:firstLine="600"/>
        <w:rPr>
          <w:rStyle w:val="34"/>
          <w:rFonts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rPr>
        <w:t>4.1本项目工期为：</w:t>
      </w:r>
      <w:r>
        <w:rPr>
          <w:rStyle w:val="34"/>
          <w:rFonts w:hint="eastAsia" w:ascii="仿宋_GB2312" w:hAnsi="仿宋" w:eastAsia="仿宋_GB2312" w:cs="宋体"/>
          <w:color w:val="auto"/>
          <w:highlight w:val="none"/>
          <w:shd w:val="clear" w:color="auto" w:fill="auto"/>
          <w:lang w:val="en-US" w:eastAsia="zh-CN"/>
        </w:rPr>
        <w:t>工期为开工报告批复之日起</w:t>
      </w:r>
      <w:r>
        <w:rPr>
          <w:rStyle w:val="34"/>
          <w:rFonts w:hint="eastAsia" w:ascii="仿宋_GB2312" w:hAnsi="仿宋" w:eastAsia="仿宋_GB2312" w:cs="宋体"/>
          <w:color w:val="auto"/>
          <w:highlight w:val="none"/>
          <w:u w:val="none"/>
          <w:shd w:val="clear" w:color="auto" w:fill="auto"/>
          <w:lang w:eastAsia="zh-CN"/>
        </w:rPr>
        <w:t>60日历天</w:t>
      </w:r>
      <w:r>
        <w:rPr>
          <w:rStyle w:val="34"/>
          <w:rFonts w:ascii="仿宋_GB2312" w:hAnsi="仿宋" w:eastAsia="仿宋_GB2312" w:cs="宋体"/>
          <w:color w:val="auto"/>
          <w:highlight w:val="none"/>
          <w:u w:val="none"/>
          <w:shd w:val="clear" w:color="auto" w:fill="auto"/>
        </w:rPr>
        <w:t>。</w:t>
      </w:r>
      <w:r>
        <w:rPr>
          <w:rStyle w:val="34"/>
          <w:rFonts w:hint="eastAsia" w:ascii="仿宋_GB2312" w:hAnsi="仿宋" w:eastAsia="仿宋_GB2312" w:cs="宋体"/>
          <w:color w:val="auto"/>
          <w:highlight w:val="none"/>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34"/>
          <w:rFonts w:ascii="仿宋" w:hAnsi="仿宋" w:eastAsia="黑体" w:cs="Times New Roman"/>
          <w:color w:val="auto"/>
          <w:sz w:val="32"/>
          <w:szCs w:val="24"/>
          <w:highlight w:val="none"/>
          <w:u w:val="none"/>
          <w:shd w:val="clear" w:color="auto" w:fill="auto"/>
        </w:rPr>
      </w:pPr>
      <w:bookmarkStart w:id="29" w:name="_Toc24707259"/>
      <w:r>
        <w:rPr>
          <w:rStyle w:val="34"/>
          <w:rFonts w:hint="eastAsia" w:ascii="仿宋" w:hAnsi="仿宋" w:eastAsia="黑体" w:cs="Times New Roman"/>
          <w:color w:val="auto"/>
          <w:sz w:val="32"/>
          <w:szCs w:val="24"/>
          <w:highlight w:val="none"/>
          <w:u w:val="none"/>
          <w:shd w:val="clear" w:color="auto" w:fill="auto"/>
        </w:rPr>
        <w:t>第五条  履约担保、质量保证</w:t>
      </w:r>
      <w:bookmarkEnd w:id="29"/>
    </w:p>
    <w:p>
      <w:pPr>
        <w:pStyle w:val="29"/>
        <w:ind w:firstLine="600"/>
        <w:rPr>
          <w:rStyle w:val="34"/>
          <w:rFonts w:hint="eastAsia"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rPr>
        <w:t>5.1乙方应在</w:t>
      </w:r>
      <w:r>
        <w:rPr>
          <w:rStyle w:val="34"/>
          <w:rFonts w:hint="eastAsia" w:ascii="仿宋_GB2312" w:hAnsi="仿宋" w:eastAsia="仿宋_GB2312" w:cs="宋体"/>
          <w:color w:val="auto"/>
          <w:highlight w:val="none"/>
          <w:u w:val="none"/>
          <w:shd w:val="clear" w:color="auto" w:fill="auto"/>
          <w:lang w:val="en-US" w:eastAsia="zh-CN"/>
        </w:rPr>
        <w:t>中标通知书发出后15日内</w:t>
      </w:r>
      <w:r>
        <w:rPr>
          <w:rStyle w:val="34"/>
          <w:rFonts w:hint="eastAsia" w:ascii="仿宋_GB2312" w:hAnsi="仿宋" w:eastAsia="仿宋_GB2312" w:cs="宋体"/>
          <w:color w:val="auto"/>
          <w:highlight w:val="none"/>
          <w:u w:val="none"/>
          <w:shd w:val="clear" w:color="auto" w:fill="auto"/>
        </w:rPr>
        <w:t>向甲方支付</w:t>
      </w:r>
      <w:r>
        <w:rPr>
          <w:rStyle w:val="34"/>
          <w:rFonts w:hint="eastAsia" w:ascii="仿宋_GB2312" w:hAnsi="仿宋" w:eastAsia="仿宋_GB2312" w:cs="宋体"/>
          <w:color w:val="auto"/>
          <w:highlight w:val="none"/>
          <w:u w:val="none"/>
          <w:shd w:val="clear" w:color="auto" w:fill="auto"/>
          <w:lang w:val="en-US" w:eastAsia="zh-CN"/>
        </w:rPr>
        <w:t>20000元</w:t>
      </w:r>
      <w:r>
        <w:rPr>
          <w:rStyle w:val="34"/>
          <w:rFonts w:hint="eastAsia" w:ascii="仿宋_GB2312" w:hAnsi="仿宋" w:eastAsia="仿宋_GB2312" w:cs="宋体"/>
          <w:color w:val="auto"/>
          <w:highlight w:val="none"/>
          <w:u w:val="none"/>
          <w:shd w:val="clear" w:color="auto" w:fill="auto"/>
        </w:rPr>
        <w:t>的履约保证金，作为履行本合同之担保，甲方应在项目验收合格后无息退还。</w:t>
      </w:r>
    </w:p>
    <w:p>
      <w:pPr>
        <w:pStyle w:val="29"/>
        <w:ind w:firstLine="600"/>
        <w:rPr>
          <w:rStyle w:val="34"/>
          <w:rFonts w:hint="eastAsia" w:ascii="仿宋_GB2312" w:hAnsi="仿宋" w:eastAsia="仿宋_GB2312" w:cs="宋体"/>
          <w:color w:val="auto"/>
          <w:highlight w:val="none"/>
          <w:u w:val="none"/>
          <w:shd w:val="clear" w:color="auto" w:fill="auto"/>
          <w:lang w:val="en-US" w:eastAsia="zh-CN"/>
        </w:rPr>
      </w:pPr>
      <w:r>
        <w:rPr>
          <w:rStyle w:val="34"/>
          <w:rFonts w:hint="eastAsia" w:ascii="仿宋_GB2312" w:hAnsi="仿宋" w:eastAsia="仿宋_GB2312" w:cs="宋体"/>
          <w:color w:val="auto"/>
          <w:highlight w:val="none"/>
          <w:u w:val="none"/>
          <w:shd w:val="clear" w:color="auto" w:fill="auto"/>
          <w:lang w:val="en-US" w:eastAsia="zh-CN"/>
        </w:rPr>
        <w:t>5.2 履约保证金应由乙方名义开立的账户支付到甲方账户，否则视为未支付，甲方有权追究乙方逾期付款责任。</w:t>
      </w:r>
    </w:p>
    <w:p>
      <w:pPr>
        <w:pStyle w:val="29"/>
        <w:ind w:firstLine="600"/>
        <w:rPr>
          <w:rStyle w:val="34"/>
          <w:rFonts w:hint="eastAsia" w:ascii="仿宋_GB2312" w:hAnsi="仿宋" w:eastAsia="仿宋_GB2312" w:cs="宋体"/>
          <w:color w:val="auto"/>
          <w:highlight w:val="none"/>
          <w:u w:val="none"/>
          <w:shd w:val="clear" w:color="auto" w:fill="auto"/>
        </w:rPr>
      </w:pPr>
      <w:r>
        <w:rPr>
          <w:rStyle w:val="34"/>
          <w:rFonts w:hint="eastAsia" w:ascii="仿宋_GB2312" w:hAnsi="仿宋" w:eastAsia="仿宋_GB2312" w:cs="宋体"/>
          <w:color w:val="auto"/>
          <w:highlight w:val="none"/>
          <w:u w:val="none"/>
          <w:shd w:val="clear" w:color="auto" w:fill="auto"/>
          <w:lang w:val="en-US" w:eastAsia="zh-CN"/>
        </w:rPr>
        <w:t>5.3 乙方支付履约保证金时，应在“付款备注”中写明“（合同编号）东区离心式制冷机组维护保养项目履约保证金”。乙方不得与其他合同、其他缴费项目一起支付履约保证金，若因混合支付造成无法确认为本合同款项到账的，视为逾期未支付。</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u w:val="none"/>
          <w:shd w:val="clear" w:color="auto" w:fill="auto"/>
        </w:rPr>
        <w:t>5.</w:t>
      </w:r>
      <w:r>
        <w:rPr>
          <w:rStyle w:val="34"/>
          <w:rFonts w:hint="eastAsia" w:cs="宋体"/>
          <w:color w:val="auto"/>
          <w:highlight w:val="none"/>
          <w:u w:val="none"/>
          <w:shd w:val="clear" w:color="auto" w:fill="auto"/>
          <w:lang w:val="en-US" w:eastAsia="zh-CN"/>
        </w:rPr>
        <w:t>4</w:t>
      </w:r>
      <w:r>
        <w:rPr>
          <w:rStyle w:val="34"/>
          <w:rFonts w:hint="eastAsia" w:ascii="仿宋_GB2312" w:hAnsi="仿宋" w:eastAsia="仿宋_GB2312" w:cs="宋体"/>
          <w:color w:val="auto"/>
          <w:highlight w:val="none"/>
          <w:u w:val="none"/>
          <w:shd w:val="clear" w:color="auto" w:fill="auto"/>
        </w:rPr>
        <w:t>项目质量保证期为：</w:t>
      </w:r>
      <w:r>
        <w:rPr>
          <w:rStyle w:val="34"/>
          <w:rFonts w:hint="eastAsia" w:cs="宋体"/>
          <w:color w:val="auto"/>
          <w:highlight w:val="none"/>
          <w:u w:val="none"/>
          <w:shd w:val="clear" w:color="auto" w:fill="auto"/>
          <w:lang w:val="en-US" w:eastAsia="zh-CN"/>
        </w:rPr>
        <w:t>24</w:t>
      </w:r>
      <w:r>
        <w:rPr>
          <w:rStyle w:val="34"/>
          <w:rFonts w:hint="eastAsia" w:ascii="仿宋_GB2312" w:hAnsi="仿宋" w:eastAsia="仿宋_GB2312" w:cs="宋体"/>
          <w:color w:val="auto"/>
          <w:highlight w:val="none"/>
          <w:u w:val="none"/>
          <w:shd w:val="clear" w:color="auto" w:fill="auto"/>
        </w:rPr>
        <w:t>月，自项目验收合格之日起算，质保期内出现与本项目有关或本项目引起的故障或异常，在接到甲方通知后，乙方需派专业技术人员在</w:t>
      </w:r>
      <w:r>
        <w:rPr>
          <w:rStyle w:val="34"/>
          <w:rFonts w:hint="eastAsia" w:cs="宋体"/>
          <w:color w:val="auto"/>
          <w:highlight w:val="none"/>
          <w:u w:val="none"/>
          <w:shd w:val="clear" w:color="auto" w:fill="auto"/>
          <w:lang w:val="en-US" w:eastAsia="zh-CN"/>
        </w:rPr>
        <w:t>24</w:t>
      </w:r>
      <w:r>
        <w:rPr>
          <w:rStyle w:val="34"/>
          <w:rFonts w:hint="eastAsia" w:ascii="仿宋_GB2312" w:hAnsi="仿宋" w:eastAsia="仿宋_GB2312" w:cs="宋体"/>
          <w:color w:val="auto"/>
          <w:highlight w:val="none"/>
          <w:u w:val="none"/>
          <w:shd w:val="clear" w:color="auto" w:fill="auto"/>
        </w:rPr>
        <w:t>小时内赶到现</w:t>
      </w:r>
      <w:r>
        <w:rPr>
          <w:rStyle w:val="34"/>
          <w:rFonts w:hint="eastAsia" w:ascii="仿宋_GB2312" w:hAnsi="仿宋" w:eastAsia="仿宋_GB2312" w:cs="宋体"/>
          <w:color w:val="auto"/>
          <w:highlight w:val="none"/>
          <w:shd w:val="clear" w:color="auto" w:fill="auto"/>
        </w:rPr>
        <w:t>场处理,若未</w:t>
      </w:r>
      <w:r>
        <w:rPr>
          <w:rStyle w:val="34"/>
          <w:rFonts w:ascii="仿宋_GB2312" w:hAnsi="仿宋" w:eastAsia="仿宋_GB2312" w:cs="宋体"/>
          <w:color w:val="auto"/>
          <w:highlight w:val="none"/>
          <w:shd w:val="clear" w:color="auto" w:fill="auto"/>
        </w:rPr>
        <w:t>及时响应，</w:t>
      </w:r>
      <w:r>
        <w:rPr>
          <w:rStyle w:val="34"/>
          <w:rFonts w:hint="eastAsia" w:ascii="仿宋_GB2312" w:hAnsi="仿宋" w:eastAsia="仿宋_GB2312" w:cs="宋体"/>
          <w:color w:val="auto"/>
          <w:highlight w:val="none"/>
          <w:shd w:val="clear" w:color="auto" w:fill="auto"/>
        </w:rPr>
        <w:t>每次扣尾款的</w:t>
      </w:r>
      <w:r>
        <w:rPr>
          <w:rStyle w:val="34"/>
          <w:rFonts w:hint="eastAsia" w:cs="宋体"/>
          <w:color w:val="auto"/>
          <w:highlight w:val="none"/>
          <w:u w:val="single"/>
          <w:shd w:val="clear" w:color="auto" w:fill="auto"/>
          <w:lang w:val="en-US" w:eastAsia="zh-CN"/>
        </w:rPr>
        <w:t>5</w:t>
      </w:r>
      <w:r>
        <w:rPr>
          <w:rStyle w:val="34"/>
          <w:rFonts w:hint="eastAsia" w:ascii="仿宋_GB2312" w:hAnsi="仿宋" w:eastAsia="仿宋_GB2312" w:cs="宋体"/>
          <w:color w:val="auto"/>
          <w:highlight w:val="none"/>
          <w:shd w:val="clear" w:color="auto" w:fill="auto"/>
        </w:rPr>
        <w:t>%。</w:t>
      </w:r>
    </w:p>
    <w:p>
      <w:pPr>
        <w:pStyle w:val="4"/>
        <w:ind w:firstLine="640"/>
        <w:rPr>
          <w:rStyle w:val="34"/>
          <w:rFonts w:ascii="仿宋" w:hAnsi="仿宋" w:eastAsia="黑体" w:cs="Times New Roman"/>
          <w:color w:val="auto"/>
          <w:sz w:val="32"/>
          <w:szCs w:val="24"/>
          <w:highlight w:val="none"/>
          <w:shd w:val="clear" w:color="auto" w:fill="auto"/>
        </w:rPr>
      </w:pPr>
      <w:bookmarkStart w:id="30" w:name="_Toc24707260"/>
      <w:r>
        <w:rPr>
          <w:rStyle w:val="34"/>
          <w:rFonts w:hint="eastAsia" w:ascii="仿宋" w:hAnsi="仿宋" w:eastAsia="黑体" w:cs="Times New Roman"/>
          <w:color w:val="auto"/>
          <w:sz w:val="32"/>
          <w:szCs w:val="24"/>
          <w:highlight w:val="none"/>
          <w:shd w:val="clear" w:color="auto" w:fill="auto"/>
        </w:rPr>
        <w:t>第六条  合同价款</w:t>
      </w:r>
      <w:bookmarkEnd w:id="30"/>
    </w:p>
    <w:p>
      <w:pPr>
        <w:pStyle w:val="29"/>
        <w:ind w:firstLine="600"/>
        <w:jc w:val="both"/>
        <w:rPr>
          <w:color w:val="auto"/>
          <w:highlight w:val="none"/>
        </w:rPr>
      </w:pPr>
      <w:r>
        <w:rPr>
          <w:rStyle w:val="34"/>
          <w:rFonts w:hint="eastAsia" w:ascii="方正仿宋_GBK" w:hAnsi="方正仿宋_GBK" w:eastAsia="方正仿宋_GBK" w:cs="方正仿宋_GBK"/>
          <w:color w:val="auto"/>
          <w:highlight w:val="none"/>
          <w:shd w:val="clear" w:color="auto" w:fill="auto"/>
          <w:lang w:val="en-US" w:eastAsia="zh-CN"/>
        </w:rPr>
        <w:t>合同</w:t>
      </w:r>
      <w:r>
        <w:rPr>
          <w:rStyle w:val="34"/>
          <w:rFonts w:hint="eastAsia" w:ascii="仿宋_GB2312" w:hAnsi="仿宋" w:eastAsia="仿宋_GB2312" w:cs="宋体"/>
          <w:color w:val="auto"/>
          <w:highlight w:val="none"/>
          <w:shd w:val="clear" w:color="auto" w:fill="auto"/>
        </w:rPr>
        <w:t>金额</w:t>
      </w:r>
      <w:r>
        <w:rPr>
          <w:rStyle w:val="34"/>
          <w:rFonts w:hint="eastAsia" w:cs="宋体"/>
          <w:color w:val="auto"/>
          <w:highlight w:val="none"/>
          <w:shd w:val="clear" w:color="auto" w:fill="auto"/>
          <w:lang w:eastAsia="zh-CN"/>
        </w:rPr>
        <w:t>（</w:t>
      </w:r>
      <w:r>
        <w:rPr>
          <w:rStyle w:val="34"/>
          <w:rFonts w:hint="eastAsia" w:ascii="仿宋_GB2312" w:hAnsi="仿宋" w:eastAsia="仿宋_GB2312" w:cs="宋体"/>
          <w:color w:val="auto"/>
          <w:highlight w:val="none"/>
          <w:shd w:val="clear" w:color="auto" w:fill="auto"/>
        </w:rPr>
        <w:t>不含</w:t>
      </w:r>
      <w:r>
        <w:rPr>
          <w:rStyle w:val="34"/>
          <w:rFonts w:hint="eastAsia" w:cs="宋体"/>
          <w:color w:val="auto"/>
          <w:highlight w:val="none"/>
          <w:shd w:val="clear" w:color="auto" w:fill="auto"/>
          <w:lang w:val="en-US" w:eastAsia="zh-CN"/>
        </w:rPr>
        <w:t>增值</w:t>
      </w:r>
      <w:r>
        <w:rPr>
          <w:rStyle w:val="34"/>
          <w:rFonts w:hint="eastAsia" w:ascii="仿宋_GB2312" w:hAnsi="仿宋" w:eastAsia="仿宋_GB2312" w:cs="宋体"/>
          <w:color w:val="auto"/>
          <w:highlight w:val="none"/>
          <w:shd w:val="clear" w:color="auto" w:fill="auto"/>
        </w:rPr>
        <w:t>税</w:t>
      </w:r>
      <w:r>
        <w:rPr>
          <w:rStyle w:val="34"/>
          <w:rFonts w:hint="eastAsia" w:cs="宋体"/>
          <w:color w:val="auto"/>
          <w:highlight w:val="none"/>
          <w:shd w:val="clear" w:color="auto" w:fill="auto"/>
          <w:lang w:eastAsia="zh-CN"/>
        </w:rPr>
        <w:t>）</w:t>
      </w:r>
      <w:r>
        <w:rPr>
          <w:rStyle w:val="34"/>
          <w:rFonts w:hint="eastAsia" w:ascii="仿宋_GB2312" w:hAnsi="仿宋" w:eastAsia="仿宋_GB2312" w:cs="宋体"/>
          <w:color w:val="auto"/>
          <w:highlight w:val="none"/>
          <w:u w:val="single"/>
          <w:shd w:val="clear" w:color="auto" w:fill="auto"/>
        </w:rPr>
        <w:t>：</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元（大写：</w:t>
      </w:r>
      <w:r>
        <w:rPr>
          <w:rStyle w:val="34"/>
          <w:rFonts w:hint="eastAsia" w:cs="宋体"/>
          <w:color w:val="auto"/>
          <w:highlight w:val="none"/>
          <w:u w:val="single"/>
          <w:shd w:val="clear" w:color="auto" w:fill="auto"/>
          <w:lang w:val="en-US" w:eastAsia="zh-CN"/>
        </w:rPr>
        <w:t xml:space="preserve">       整</w:t>
      </w:r>
      <w:r>
        <w:rPr>
          <w:rStyle w:val="34"/>
          <w:rFonts w:hint="eastAsia" w:ascii="仿宋_GB2312" w:hAnsi="仿宋" w:eastAsia="仿宋_GB2312" w:cs="宋体"/>
          <w:color w:val="auto"/>
          <w:highlight w:val="none"/>
          <w:shd w:val="clear" w:color="auto" w:fill="auto"/>
        </w:rPr>
        <w:t>）；含税金额</w:t>
      </w:r>
      <w:r>
        <w:rPr>
          <w:rStyle w:val="34"/>
          <w:rFonts w:hint="eastAsia" w:ascii="仿宋_GB2312" w:hAnsi="仿宋" w:eastAsia="仿宋_GB2312" w:cs="宋体"/>
          <w:color w:val="auto"/>
          <w:highlight w:val="none"/>
          <w:u w:val="single"/>
          <w:shd w:val="clear" w:color="auto" w:fill="auto"/>
        </w:rPr>
        <w:t>：</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元（大写</w:t>
      </w:r>
      <w:r>
        <w:rPr>
          <w:rStyle w:val="34"/>
          <w:rFonts w:hint="eastAsia" w:ascii="仿宋_GB2312" w:hAnsi="仿宋" w:eastAsia="仿宋_GB2312" w:cs="宋体"/>
          <w:color w:val="auto"/>
          <w:highlight w:val="none"/>
          <w:u w:val="single"/>
          <w:shd w:val="clear" w:color="auto" w:fill="auto"/>
        </w:rPr>
        <w:t>：</w:t>
      </w:r>
      <w:r>
        <w:rPr>
          <w:rStyle w:val="34"/>
          <w:rFonts w:hint="eastAsia" w:cs="宋体"/>
          <w:color w:val="auto"/>
          <w:highlight w:val="none"/>
          <w:u w:val="single"/>
          <w:shd w:val="clear" w:color="auto" w:fill="auto"/>
          <w:lang w:val="en-US" w:eastAsia="zh-CN"/>
        </w:rPr>
        <w:t xml:space="preserve">       </w:t>
      </w:r>
      <w:r>
        <w:rPr>
          <w:rStyle w:val="34"/>
          <w:rFonts w:hint="eastAsia" w:ascii="仿宋_GB2312" w:hAnsi="仿宋" w:eastAsia="仿宋_GB2312" w:cs="宋体"/>
          <w:color w:val="auto"/>
          <w:highlight w:val="none"/>
          <w:shd w:val="clear" w:color="auto" w:fill="auto"/>
        </w:rPr>
        <w:t>）,</w:t>
      </w:r>
      <w:r>
        <w:rPr>
          <w:rStyle w:val="34"/>
          <w:rFonts w:hint="eastAsia" w:ascii="方正仿宋_GBK" w:hAnsi="方正仿宋_GBK" w:eastAsia="方正仿宋_GBK" w:cs="方正仿宋_GBK"/>
          <w:color w:val="auto"/>
          <w:highlight w:val="none"/>
          <w:shd w:val="clear" w:color="auto" w:fill="auto"/>
          <w:lang w:val="en-US" w:eastAsia="zh-CN"/>
        </w:rPr>
        <w:t>增值税</w:t>
      </w:r>
      <w:r>
        <w:rPr>
          <w:rStyle w:val="34"/>
          <w:rFonts w:hint="eastAsia" w:ascii="仿宋_GB2312" w:hAnsi="仿宋" w:eastAsia="仿宋_GB2312" w:cs="宋体"/>
          <w:color w:val="auto"/>
          <w:highlight w:val="none"/>
          <w:shd w:val="clear" w:color="auto" w:fill="auto"/>
          <w:lang w:val="en-US" w:eastAsia="zh-CN"/>
        </w:rPr>
        <w:t>税率为</w:t>
      </w:r>
      <w:r>
        <w:rPr>
          <w:rStyle w:val="34"/>
          <w:rFonts w:hint="eastAsia" w:cs="宋体"/>
          <w:color w:val="auto"/>
          <w:highlight w:val="none"/>
          <w:shd w:val="clear" w:color="auto" w:fill="auto"/>
          <w:lang w:val="en-US" w:eastAsia="zh-CN"/>
        </w:rPr>
        <w:t>13</w:t>
      </w:r>
      <w:r>
        <w:rPr>
          <w:rStyle w:val="34"/>
          <w:rFonts w:hint="eastAsia" w:ascii="仿宋_GB2312" w:hAnsi="仿宋" w:eastAsia="仿宋_GB2312" w:cs="宋体"/>
          <w:color w:val="auto"/>
          <w:highlight w:val="none"/>
          <w:shd w:val="clear" w:color="auto" w:fill="auto"/>
          <w:lang w:val="en-US" w:eastAsia="zh-CN"/>
        </w:rPr>
        <w:t>%</w:t>
      </w:r>
      <w:r>
        <w:rPr>
          <w:rStyle w:val="34"/>
          <w:rFonts w:hint="eastAsia" w:cs="宋体"/>
          <w:color w:val="auto"/>
          <w:highlight w:val="none"/>
          <w:shd w:val="clear" w:color="auto" w:fill="auto"/>
          <w:lang w:val="en-US" w:eastAsia="zh-CN"/>
        </w:rPr>
        <w:t>。</w:t>
      </w:r>
      <w:r>
        <w:rPr>
          <w:rStyle w:val="34"/>
          <w:rFonts w:hint="eastAsia" w:ascii="仿宋_GB2312" w:hAnsi="仿宋" w:eastAsia="仿宋_GB2312" w:cs="宋体"/>
          <w:color w:val="auto"/>
          <w:highlight w:val="none"/>
          <w:shd w:val="clear" w:color="auto" w:fill="auto"/>
        </w:rPr>
        <w:t>本合同价格为</w:t>
      </w:r>
      <w:r>
        <w:rPr>
          <w:rFonts w:hint="eastAsia"/>
          <w:color w:val="auto"/>
          <w:highlight w:val="none"/>
        </w:rPr>
        <w:t xml:space="preserve"> “总价包干”，包括但不限于材料购买、人工、运输、保险、风险措施费用等一切与项目内容相关的费用。</w:t>
      </w:r>
    </w:p>
    <w:p>
      <w:pPr>
        <w:pStyle w:val="4"/>
        <w:ind w:firstLine="640"/>
        <w:rPr>
          <w:rStyle w:val="34"/>
          <w:rFonts w:ascii="仿宋" w:hAnsi="仿宋" w:eastAsia="黑体" w:cs="Times New Roman"/>
          <w:color w:val="auto"/>
          <w:sz w:val="32"/>
          <w:szCs w:val="24"/>
          <w:highlight w:val="none"/>
          <w:shd w:val="clear" w:color="auto" w:fill="auto"/>
        </w:rPr>
      </w:pPr>
      <w:bookmarkStart w:id="31" w:name="_Toc24707261"/>
      <w:r>
        <w:rPr>
          <w:rStyle w:val="34"/>
          <w:rFonts w:hint="eastAsia" w:ascii="仿宋" w:hAnsi="仿宋" w:eastAsia="黑体" w:cs="Times New Roman"/>
          <w:color w:val="auto"/>
          <w:sz w:val="32"/>
          <w:szCs w:val="24"/>
          <w:highlight w:val="none"/>
          <w:shd w:val="clear" w:color="auto" w:fill="auto"/>
        </w:rPr>
        <w:t>第七条 付款方式</w:t>
      </w:r>
      <w:bookmarkEnd w:id="31"/>
    </w:p>
    <w:p>
      <w:pPr>
        <w:pStyle w:val="29"/>
        <w:ind w:firstLine="600"/>
        <w:rPr>
          <w:rStyle w:val="34"/>
          <w:rFonts w:hint="eastAsia"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7.1项目完工验收合格后，乙方</w:t>
      </w:r>
      <w:r>
        <w:rPr>
          <w:rStyle w:val="34"/>
          <w:rFonts w:hint="eastAsia" w:ascii="方正仿宋_GBK" w:hAnsi="方正仿宋_GBK" w:eastAsia="方正仿宋_GBK" w:cs="方正仿宋_GBK"/>
          <w:color w:val="auto"/>
          <w:highlight w:val="none"/>
          <w:shd w:val="clear" w:color="auto" w:fill="auto"/>
          <w:lang w:val="en-US" w:eastAsia="zh-CN"/>
        </w:rPr>
        <w:t>向甲方</w:t>
      </w:r>
      <w:r>
        <w:rPr>
          <w:rStyle w:val="34"/>
          <w:rFonts w:hint="eastAsia" w:ascii="方正仿宋_GBK" w:hAnsi="方正仿宋_GBK" w:eastAsia="方正仿宋_GBK" w:cs="方正仿宋_GBK"/>
          <w:color w:val="auto"/>
          <w:highlight w:val="none"/>
          <w:shd w:val="clear" w:color="auto" w:fill="auto"/>
        </w:rPr>
        <w:t>开具</w:t>
      </w:r>
      <w:r>
        <w:rPr>
          <w:rStyle w:val="34"/>
          <w:rFonts w:hint="eastAsia" w:ascii="方正仿宋_GBK" w:hAnsi="方正仿宋_GBK" w:eastAsia="方正仿宋_GBK" w:cs="方正仿宋_GBK"/>
          <w:color w:val="auto"/>
          <w:highlight w:val="none"/>
          <w:shd w:val="clear" w:color="auto" w:fill="auto"/>
          <w:lang w:val="en-US" w:eastAsia="zh-CN"/>
        </w:rPr>
        <w:t>合同金额的正规增值税发票。甲方在收到</w:t>
      </w:r>
      <w:r>
        <w:rPr>
          <w:rStyle w:val="34"/>
          <w:rFonts w:hint="eastAsia" w:ascii="仿宋_GB2312" w:hAnsi="仿宋" w:eastAsia="仿宋_GB2312" w:cs="宋体"/>
          <w:color w:val="auto"/>
          <w:highlight w:val="none"/>
          <w:shd w:val="clear" w:color="auto" w:fill="auto"/>
        </w:rPr>
        <w:t>增值税发票后30个工作日内，向乙方支付合同价款的</w:t>
      </w:r>
      <w:r>
        <w:rPr>
          <w:rStyle w:val="34"/>
          <w:rFonts w:hint="eastAsia" w:cs="宋体"/>
          <w:color w:val="auto"/>
          <w:highlight w:val="none"/>
          <w:u w:val="single"/>
          <w:shd w:val="clear" w:color="auto" w:fill="auto"/>
          <w:lang w:val="en-US" w:eastAsia="zh-CN"/>
        </w:rPr>
        <w:t>95</w:t>
      </w:r>
      <w:r>
        <w:rPr>
          <w:rStyle w:val="34"/>
          <w:rFonts w:hint="eastAsia" w:ascii="仿宋_GB2312" w:hAnsi="仿宋" w:eastAsia="仿宋_GB2312" w:cs="宋体"/>
          <w:color w:val="auto"/>
          <w:highlight w:val="none"/>
          <w:shd w:val="clear" w:color="auto" w:fill="auto"/>
        </w:rPr>
        <w:t>％，剩余</w:t>
      </w:r>
      <w:r>
        <w:rPr>
          <w:rStyle w:val="34"/>
          <w:rFonts w:hint="eastAsia" w:cs="宋体"/>
          <w:color w:val="auto"/>
          <w:highlight w:val="none"/>
          <w:u w:val="single"/>
          <w:shd w:val="clear" w:color="auto" w:fill="auto"/>
          <w:lang w:val="en-US" w:eastAsia="zh-CN"/>
        </w:rPr>
        <w:t>5</w:t>
      </w:r>
      <w:r>
        <w:rPr>
          <w:rStyle w:val="34"/>
          <w:rFonts w:hint="eastAsia" w:ascii="仿宋_GB2312" w:hAnsi="仿宋" w:eastAsia="仿宋_GB2312" w:cs="宋体"/>
          <w:color w:val="auto"/>
          <w:highlight w:val="none"/>
          <w:shd w:val="clear" w:color="auto" w:fill="auto"/>
        </w:rPr>
        <w:t>％的余款在质量保证期届满且无问题后30个工作日内</w:t>
      </w:r>
      <w:r>
        <w:rPr>
          <w:rStyle w:val="34"/>
          <w:rFonts w:hint="eastAsia" w:cs="宋体"/>
          <w:color w:val="auto"/>
          <w:highlight w:val="none"/>
          <w:shd w:val="clear" w:color="auto" w:fill="auto"/>
          <w:lang w:val="en-US" w:eastAsia="zh-CN"/>
        </w:rPr>
        <w:t>无息</w:t>
      </w:r>
      <w:r>
        <w:rPr>
          <w:rStyle w:val="34"/>
          <w:rFonts w:hint="eastAsia" w:ascii="仿宋_GB2312" w:hAnsi="仿宋" w:eastAsia="仿宋_GB2312" w:cs="宋体"/>
          <w:color w:val="auto"/>
          <w:highlight w:val="none"/>
          <w:shd w:val="clear" w:color="auto" w:fill="auto"/>
        </w:rPr>
        <w:t>支付。</w:t>
      </w:r>
    </w:p>
    <w:p>
      <w:pPr>
        <w:pStyle w:val="29"/>
        <w:ind w:firstLine="600"/>
        <w:rPr>
          <w:rStyle w:val="36"/>
          <w:color w:val="auto"/>
          <w:highlight w:val="none"/>
          <w:lang w:eastAsia="zh-CN"/>
        </w:rPr>
      </w:pPr>
      <w:r>
        <w:rPr>
          <w:rStyle w:val="36"/>
          <w:rFonts w:hint="eastAsia"/>
          <w:color w:val="auto"/>
          <w:highlight w:val="none"/>
          <w:lang w:eastAsia="zh-CN"/>
        </w:rPr>
        <w:t>如果乙方提供增值税普通发票，甲方支付金额为不含增值税金额；如果乙方提供增值税专用发票，甲方支付金额</w:t>
      </w:r>
      <w:r>
        <w:rPr>
          <w:rStyle w:val="36"/>
          <w:color w:val="auto"/>
          <w:highlight w:val="none"/>
          <w:lang w:eastAsia="zh-CN"/>
        </w:rPr>
        <w:t>=不含增值税金额+增值税税额。</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7.2 支付方式：银行转账。</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7.3 乙方</w:t>
      </w:r>
      <w:r>
        <w:rPr>
          <w:rStyle w:val="34"/>
          <w:rFonts w:hint="eastAsia" w:ascii="仿宋_GB2312" w:hAnsi="仿宋" w:eastAsia="仿宋_GB2312" w:cs="宋体"/>
          <w:color w:val="auto"/>
          <w:highlight w:val="none"/>
          <w:shd w:val="clear" w:color="auto" w:fill="auto"/>
          <w:lang w:val="en-US" w:eastAsia="zh-CN"/>
        </w:rPr>
        <w:t>账</w:t>
      </w:r>
      <w:r>
        <w:rPr>
          <w:rStyle w:val="34"/>
          <w:rFonts w:hint="eastAsia" w:ascii="仿宋_GB2312" w:hAnsi="仿宋" w:eastAsia="仿宋_GB2312" w:cs="宋体"/>
          <w:color w:val="auto"/>
          <w:highlight w:val="none"/>
          <w:shd w:val="clear" w:color="auto" w:fill="auto"/>
        </w:rPr>
        <w:t>户信息：</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开户行：</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账号：</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户名：</w:t>
      </w:r>
    </w:p>
    <w:p>
      <w:pPr>
        <w:pStyle w:val="4"/>
        <w:ind w:firstLine="640"/>
        <w:rPr>
          <w:rStyle w:val="34"/>
          <w:rFonts w:ascii="仿宋" w:hAnsi="仿宋" w:eastAsia="黑体" w:cs="Times New Roman"/>
          <w:color w:val="auto"/>
          <w:sz w:val="32"/>
          <w:szCs w:val="24"/>
          <w:highlight w:val="none"/>
          <w:shd w:val="clear" w:color="auto" w:fill="auto"/>
        </w:rPr>
      </w:pPr>
      <w:bookmarkStart w:id="32" w:name="_Toc24707262"/>
      <w:r>
        <w:rPr>
          <w:rStyle w:val="34"/>
          <w:rFonts w:hint="eastAsia" w:ascii="仿宋" w:hAnsi="仿宋" w:eastAsia="黑体" w:cs="Times New Roman"/>
          <w:color w:val="auto"/>
          <w:sz w:val="32"/>
          <w:szCs w:val="24"/>
          <w:highlight w:val="none"/>
          <w:shd w:val="clear" w:color="auto" w:fill="auto"/>
        </w:rPr>
        <w:t>第八条  承揽要求</w:t>
      </w:r>
      <w:bookmarkEnd w:id="32"/>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8.1乙方工作时间的要求</w:t>
      </w:r>
      <w:r>
        <w:rPr>
          <w:rStyle w:val="34"/>
          <w:rFonts w:hint="eastAsia" w:ascii="仿宋_GB2312" w:hAnsi="仿宋" w:eastAsia="仿宋_GB2312" w:cs="宋体"/>
          <w:color w:val="auto"/>
          <w:highlight w:val="none"/>
          <w:u w:val="single"/>
          <w:shd w:val="clear" w:color="auto" w:fill="auto"/>
        </w:rPr>
        <w:t xml:space="preserve">：                          </w:t>
      </w:r>
      <w:r>
        <w:rPr>
          <w:rStyle w:val="34"/>
          <w:rFonts w:hint="eastAsia" w:ascii="仿宋_GB2312" w:hAnsi="仿宋" w:eastAsia="仿宋_GB2312" w:cs="宋体"/>
          <w:color w:val="auto"/>
          <w:highlight w:val="none"/>
          <w:shd w:val="clear" w:color="auto" w:fill="auto"/>
        </w:rPr>
        <w:t xml:space="preserve"> ；</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8.2办理证件的要求</w:t>
      </w:r>
      <w:r>
        <w:rPr>
          <w:rStyle w:val="34"/>
          <w:rFonts w:hint="eastAsia" w:ascii="仿宋_GB2312" w:hAnsi="仿宋" w:eastAsia="仿宋_GB2312" w:cs="宋体"/>
          <w:color w:val="auto"/>
          <w:highlight w:val="none"/>
          <w:u w:val="single"/>
          <w:shd w:val="clear" w:color="auto" w:fill="auto"/>
        </w:rPr>
        <w:t xml:space="preserve">：                        </w:t>
      </w:r>
      <w:r>
        <w:rPr>
          <w:rStyle w:val="34"/>
          <w:rFonts w:hint="eastAsia" w:ascii="仿宋_GB2312" w:hAnsi="仿宋" w:eastAsia="仿宋_GB2312" w:cs="宋体"/>
          <w:color w:val="auto"/>
          <w:highlight w:val="none"/>
          <w:shd w:val="clear" w:color="auto" w:fill="auto"/>
        </w:rPr>
        <w:t>；</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8.3 项目所需材料的提供和使用由</w:t>
      </w:r>
      <w:r>
        <w:rPr>
          <w:rStyle w:val="34"/>
          <w:rFonts w:hint="eastAsia" w:ascii="仿宋_GB2312" w:hAnsi="仿宋" w:eastAsia="仿宋_GB2312" w:cs="宋体"/>
          <w:color w:val="auto"/>
          <w:highlight w:val="none"/>
          <w:u w:val="single"/>
          <w:shd w:val="clear" w:color="auto" w:fill="auto"/>
        </w:rPr>
        <w:t xml:space="preserve">                </w:t>
      </w:r>
      <w:r>
        <w:rPr>
          <w:rStyle w:val="34"/>
          <w:rFonts w:hint="eastAsia" w:ascii="仿宋_GB2312" w:hAnsi="仿宋" w:eastAsia="仿宋_GB2312" w:cs="宋体"/>
          <w:color w:val="auto"/>
          <w:highlight w:val="none"/>
          <w:shd w:val="clear" w:color="auto" w:fill="auto"/>
        </w:rPr>
        <w:t>负责；</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8.4 未经甲方书面同意，乙方不得擅自改变合同约定材料；</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8.5 其它要求：本工程所需材料设备由乙方提供，并负责运输和保管。如施工过程中需更换，必须经甲方同意，且不调整合同总价。乙方应保证其提供的材料设备均有合法来源，并对此负责。</w:t>
      </w:r>
    </w:p>
    <w:p>
      <w:pPr>
        <w:pStyle w:val="4"/>
        <w:ind w:firstLine="640"/>
        <w:rPr>
          <w:rStyle w:val="34"/>
          <w:rFonts w:ascii="仿宋" w:hAnsi="仿宋" w:eastAsia="黑体" w:cs="Times New Roman"/>
          <w:color w:val="auto"/>
          <w:sz w:val="32"/>
          <w:szCs w:val="24"/>
          <w:highlight w:val="none"/>
          <w:shd w:val="clear" w:color="auto" w:fill="auto"/>
        </w:rPr>
      </w:pPr>
      <w:bookmarkStart w:id="33" w:name="_Toc24707263"/>
      <w:r>
        <w:rPr>
          <w:rStyle w:val="34"/>
          <w:rFonts w:hint="eastAsia" w:ascii="仿宋" w:hAnsi="仿宋" w:eastAsia="黑体" w:cs="Times New Roman"/>
          <w:color w:val="auto"/>
          <w:sz w:val="32"/>
          <w:szCs w:val="24"/>
          <w:highlight w:val="none"/>
          <w:shd w:val="clear" w:color="auto" w:fill="auto"/>
        </w:rPr>
        <w:t>第九条  双方的权利与义务</w:t>
      </w:r>
      <w:bookmarkEnd w:id="33"/>
    </w:p>
    <w:p>
      <w:pPr>
        <w:pStyle w:val="35"/>
        <w:shd w:val="clear" w:color="auto" w:fill="auto"/>
        <w:spacing w:before="0" w:after="120" w:line="360" w:lineRule="auto"/>
        <w:ind w:firstLine="600" w:firstLineChars="200"/>
        <w:jc w:val="both"/>
        <w:outlineLvl w:val="2"/>
        <w:rPr>
          <w:rStyle w:val="34"/>
          <w:rFonts w:ascii="黑体" w:hAnsi="仿宋" w:eastAsia="黑体"/>
          <w:color w:val="auto"/>
          <w:szCs w:val="24"/>
          <w:highlight w:val="none"/>
          <w:lang w:val="zh-CN"/>
        </w:rPr>
      </w:pPr>
      <w:bookmarkStart w:id="34" w:name="_Toc24707264"/>
      <w:r>
        <w:rPr>
          <w:rStyle w:val="34"/>
          <w:rFonts w:hint="eastAsia" w:ascii="黑体" w:hAnsi="仿宋" w:eastAsia="黑体"/>
          <w:color w:val="auto"/>
          <w:szCs w:val="24"/>
          <w:highlight w:val="none"/>
        </w:rPr>
        <w:t>9</w:t>
      </w:r>
      <w:r>
        <w:rPr>
          <w:rStyle w:val="34"/>
          <w:rFonts w:hint="eastAsia" w:ascii="黑体" w:hAnsi="仿宋" w:eastAsia="黑体"/>
          <w:color w:val="auto"/>
          <w:szCs w:val="24"/>
          <w:highlight w:val="none"/>
          <w:lang w:val="zh-CN"/>
        </w:rPr>
        <w:t>.1甲方权责：</w:t>
      </w:r>
      <w:bookmarkEnd w:id="34"/>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9.1.1甲方负责按照约定的付款方式向乙方支付承揽费用；</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9.1.2对乙方实施监督，并有权对乙方提出意见和建议；</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9.1.3 对乙方的承揽工作提供必要的、合理的协助工作；</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9.1.4</w:t>
      </w:r>
      <w:r>
        <w:rPr>
          <w:rStyle w:val="34"/>
          <w:rFonts w:ascii="仿宋_GB2312" w:hAnsi="仿宋" w:eastAsia="仿宋_GB2312" w:cs="宋体"/>
          <w:color w:val="auto"/>
          <w:highlight w:val="none"/>
          <w:shd w:val="clear" w:color="auto" w:fill="auto"/>
        </w:rPr>
        <w:t>甲方有权从</w:t>
      </w:r>
      <w:r>
        <w:rPr>
          <w:rStyle w:val="34"/>
          <w:rFonts w:hint="eastAsia" w:ascii="仿宋_GB2312" w:hAnsi="仿宋" w:eastAsia="仿宋_GB2312" w:cs="宋体"/>
          <w:color w:val="auto"/>
          <w:highlight w:val="none"/>
          <w:shd w:val="clear" w:color="auto" w:fill="auto"/>
        </w:rPr>
        <w:t>履约保证金或未付费用中</w:t>
      </w:r>
      <w:r>
        <w:rPr>
          <w:rStyle w:val="34"/>
          <w:rFonts w:ascii="仿宋_GB2312" w:hAnsi="仿宋" w:eastAsia="仿宋_GB2312" w:cs="宋体"/>
          <w:color w:val="auto"/>
          <w:highlight w:val="none"/>
          <w:shd w:val="clear" w:color="auto" w:fill="auto"/>
        </w:rPr>
        <w:t>抵扣相当于违约金和滞纳金数额</w:t>
      </w:r>
      <w:r>
        <w:rPr>
          <w:rStyle w:val="34"/>
          <w:rFonts w:hint="eastAsia" w:ascii="仿宋_GB2312" w:hAnsi="仿宋" w:eastAsia="仿宋_GB2312" w:cs="宋体"/>
          <w:color w:val="auto"/>
          <w:highlight w:val="none"/>
          <w:shd w:val="clear" w:color="auto" w:fill="auto"/>
        </w:rPr>
        <w:t>的</w:t>
      </w:r>
      <w:r>
        <w:rPr>
          <w:rStyle w:val="34"/>
          <w:rFonts w:ascii="仿宋_GB2312" w:hAnsi="仿宋" w:eastAsia="仿宋_GB2312" w:cs="宋体"/>
          <w:color w:val="auto"/>
          <w:highlight w:val="none"/>
          <w:shd w:val="clear" w:color="auto" w:fill="auto"/>
        </w:rPr>
        <w:t>款项。</w:t>
      </w:r>
    </w:p>
    <w:p>
      <w:pPr>
        <w:pStyle w:val="35"/>
        <w:shd w:val="clear" w:color="auto" w:fill="auto"/>
        <w:spacing w:before="0" w:after="120" w:line="360" w:lineRule="auto"/>
        <w:ind w:firstLine="600" w:firstLineChars="200"/>
        <w:jc w:val="both"/>
        <w:outlineLvl w:val="2"/>
        <w:rPr>
          <w:rStyle w:val="34"/>
          <w:rFonts w:ascii="黑体" w:hAnsi="仿宋" w:eastAsia="黑体"/>
          <w:color w:val="auto"/>
          <w:szCs w:val="24"/>
          <w:highlight w:val="none"/>
          <w:lang w:val="zh-CN"/>
        </w:rPr>
      </w:pPr>
      <w:bookmarkStart w:id="35" w:name="_Toc24707265"/>
      <w:r>
        <w:rPr>
          <w:rStyle w:val="34"/>
          <w:rFonts w:hint="eastAsia" w:ascii="黑体" w:hAnsi="仿宋" w:eastAsia="黑体"/>
          <w:color w:val="auto"/>
          <w:szCs w:val="24"/>
          <w:highlight w:val="none"/>
          <w:lang w:val="zh-CN"/>
        </w:rPr>
        <w:t>9.2乙方权责：</w:t>
      </w:r>
      <w:bookmarkEnd w:id="35"/>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9.2.4按期完工，提出验收申请，并参与成果验收工作。</w:t>
      </w:r>
    </w:p>
    <w:p>
      <w:pPr>
        <w:pStyle w:val="29"/>
        <w:ind w:firstLine="600"/>
        <w:rPr>
          <w:color w:val="auto"/>
          <w:highlight w:val="none"/>
        </w:rPr>
      </w:pPr>
      <w:r>
        <w:rPr>
          <w:rStyle w:val="34"/>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
        <w:ind w:firstLine="640"/>
        <w:rPr>
          <w:rStyle w:val="34"/>
          <w:rFonts w:ascii="仿宋" w:hAnsi="仿宋" w:eastAsia="黑体" w:cs="Times New Roman"/>
          <w:color w:val="auto"/>
          <w:sz w:val="32"/>
          <w:szCs w:val="24"/>
          <w:highlight w:val="none"/>
          <w:shd w:val="clear" w:color="auto" w:fill="auto"/>
        </w:rPr>
      </w:pPr>
      <w:bookmarkStart w:id="36" w:name="_Toc24707266"/>
      <w:r>
        <w:rPr>
          <w:rStyle w:val="34"/>
          <w:rFonts w:hint="eastAsia" w:ascii="仿宋" w:hAnsi="仿宋" w:eastAsia="黑体" w:cs="Times New Roman"/>
          <w:color w:val="auto"/>
          <w:sz w:val="32"/>
          <w:szCs w:val="24"/>
          <w:highlight w:val="none"/>
          <w:shd w:val="clear" w:color="auto" w:fill="auto"/>
        </w:rPr>
        <w:t>第十条  成果验收标准和方法</w:t>
      </w:r>
      <w:bookmarkEnd w:id="36"/>
    </w:p>
    <w:p>
      <w:pPr>
        <w:pStyle w:val="29"/>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项目完工后，由乙方向甲方提出验收申请并提供甲方</w:t>
      </w:r>
      <w:r>
        <w:rPr>
          <w:rStyle w:val="34"/>
          <w:rFonts w:hint="eastAsia" w:ascii="仿宋_GB2312" w:hAnsi="仿宋" w:eastAsia="仿宋_GB2312" w:cs="宋体"/>
          <w:color w:val="auto"/>
          <w:highlight w:val="none"/>
          <w:shd w:val="clear" w:color="auto" w:fill="auto"/>
          <w:lang w:val="en-US" w:eastAsia="zh-CN"/>
        </w:rPr>
        <w:t>锅炉、水质在运行中的参数和</w:t>
      </w:r>
      <w:r>
        <w:rPr>
          <w:rStyle w:val="34"/>
          <w:rFonts w:hint="eastAsia" w:ascii="仿宋_GB2312" w:hAnsi="仿宋" w:eastAsia="仿宋_GB2312" w:cs="宋体"/>
          <w:color w:val="auto"/>
          <w:highlight w:val="none"/>
          <w:shd w:val="clear" w:color="auto" w:fill="auto"/>
        </w:rPr>
        <w:t>报告，所有项目</w:t>
      </w:r>
      <w:r>
        <w:rPr>
          <w:rStyle w:val="34"/>
          <w:rFonts w:hint="eastAsia" w:ascii="仿宋_GB2312" w:hAnsi="仿宋" w:eastAsia="仿宋_GB2312" w:cs="宋体"/>
          <w:color w:val="auto"/>
          <w:highlight w:val="none"/>
          <w:shd w:val="clear" w:color="auto" w:fill="auto"/>
          <w:lang w:val="en-US" w:eastAsia="zh-CN"/>
        </w:rPr>
        <w:t>符合</w:t>
      </w:r>
      <w:r>
        <w:rPr>
          <w:rStyle w:val="34"/>
          <w:rFonts w:hint="eastAsia" w:ascii="仿宋_GB2312" w:hAnsi="仿宋" w:eastAsia="仿宋_GB2312" w:cs="宋体"/>
          <w:color w:val="auto"/>
          <w:highlight w:val="none"/>
          <w:shd w:val="clear" w:color="auto" w:fill="auto"/>
        </w:rPr>
        <w:t>TSG G0001-2012 《锅炉安全技术监察规程》</w:t>
      </w:r>
      <w:r>
        <w:rPr>
          <w:rStyle w:val="34"/>
          <w:rFonts w:hint="eastAsia" w:ascii="仿宋_GB2312" w:hAnsi="仿宋" w:eastAsia="仿宋_GB2312" w:cs="宋体"/>
          <w:color w:val="auto"/>
          <w:highlight w:val="none"/>
          <w:shd w:val="clear" w:color="auto" w:fill="auto"/>
          <w:lang w:val="en-US" w:eastAsia="zh-CN"/>
        </w:rPr>
        <w:t>标准</w:t>
      </w:r>
      <w:r>
        <w:rPr>
          <w:rStyle w:val="34"/>
          <w:rFonts w:hint="eastAsia" w:ascii="仿宋_GB2312" w:hAnsi="仿宋" w:eastAsia="仿宋_GB2312" w:cs="宋体"/>
          <w:color w:val="auto"/>
          <w:highlight w:val="none"/>
          <w:shd w:val="clear" w:color="auto" w:fill="auto"/>
        </w:rPr>
        <w:t>且</w:t>
      </w:r>
      <w:r>
        <w:rPr>
          <w:rStyle w:val="34"/>
          <w:rFonts w:hint="eastAsia" w:ascii="仿宋_GB2312" w:hAnsi="仿宋" w:eastAsia="仿宋_GB2312" w:cs="宋体"/>
          <w:color w:val="auto"/>
          <w:highlight w:val="none"/>
          <w:shd w:val="clear" w:color="auto" w:fill="auto"/>
          <w:lang w:val="en-US" w:eastAsia="zh-CN"/>
        </w:rPr>
        <w:t>锅炉</w:t>
      </w:r>
      <w:r>
        <w:rPr>
          <w:rStyle w:val="34"/>
          <w:rFonts w:hint="eastAsia" w:ascii="仿宋_GB2312" w:hAnsi="仿宋" w:eastAsia="仿宋_GB2312" w:cs="宋体"/>
          <w:color w:val="auto"/>
          <w:highlight w:val="none"/>
          <w:shd w:val="clear" w:color="auto" w:fill="auto"/>
        </w:rPr>
        <w:t>运行两周无问题即验收合格进行验收。</w:t>
      </w:r>
    </w:p>
    <w:p>
      <w:pPr>
        <w:pStyle w:val="4"/>
        <w:ind w:firstLine="640"/>
        <w:rPr>
          <w:rStyle w:val="34"/>
          <w:rFonts w:ascii="仿宋" w:hAnsi="仿宋" w:eastAsia="黑体" w:cs="Times New Roman"/>
          <w:color w:val="auto"/>
          <w:sz w:val="32"/>
          <w:szCs w:val="24"/>
          <w:highlight w:val="none"/>
          <w:shd w:val="clear" w:color="auto" w:fill="auto"/>
        </w:rPr>
      </w:pPr>
      <w:bookmarkStart w:id="37" w:name="_Toc24707267"/>
      <w:r>
        <w:rPr>
          <w:rStyle w:val="34"/>
          <w:rFonts w:hint="eastAsia" w:ascii="仿宋" w:hAnsi="仿宋" w:eastAsia="黑体" w:cs="Times New Roman"/>
          <w:color w:val="auto"/>
          <w:sz w:val="32"/>
          <w:szCs w:val="24"/>
          <w:highlight w:val="none"/>
          <w:shd w:val="clear" w:color="auto" w:fill="auto"/>
        </w:rPr>
        <w:t>第十一条  知识产权</w:t>
      </w:r>
      <w:bookmarkEnd w:id="37"/>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34"/>
          <w:rFonts w:hint="eastAsia" w:ascii="仿宋" w:hAnsi="仿宋" w:eastAsia="黑体" w:cs="Times New Roman"/>
          <w:color w:val="auto"/>
          <w:sz w:val="32"/>
          <w:szCs w:val="24"/>
          <w:highlight w:val="none"/>
          <w:shd w:val="clear" w:color="auto" w:fill="auto"/>
        </w:rPr>
      </w:pPr>
      <w:bookmarkStart w:id="38" w:name="_Toc24707268"/>
      <w:r>
        <w:rPr>
          <w:rStyle w:val="34"/>
          <w:rFonts w:hint="eastAsia" w:ascii="仿宋" w:hAnsi="仿宋" w:eastAsia="黑体" w:cs="Times New Roman"/>
          <w:color w:val="auto"/>
          <w:sz w:val="32"/>
          <w:szCs w:val="24"/>
          <w:highlight w:val="none"/>
          <w:shd w:val="clear" w:color="auto" w:fill="auto"/>
        </w:rPr>
        <w:t>第十二条  违约责任</w:t>
      </w:r>
      <w:bookmarkEnd w:id="38"/>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29"/>
        <w:ind w:firstLine="600"/>
        <w:rPr>
          <w:rStyle w:val="34"/>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12.3乙方不能</w:t>
      </w:r>
      <w:r>
        <w:rPr>
          <w:rStyle w:val="34"/>
          <w:rFonts w:hint="eastAsia" w:ascii="仿宋_GB2312" w:hAnsi="仿宋" w:eastAsia="仿宋_GB2312" w:cs="宋体"/>
          <w:color w:val="auto"/>
          <w:highlight w:val="none"/>
          <w:shd w:val="clear" w:color="auto" w:fill="auto"/>
        </w:rPr>
        <w:t>按合同规定的工期完工，每逾期1天，应偿付给甲方按合同总额的万分之五的逾期违约金。逾期超过</w:t>
      </w:r>
      <w:r>
        <w:rPr>
          <w:rStyle w:val="34"/>
          <w:rFonts w:hint="eastAsia" w:ascii="Times New Roman" w:hAnsi="Times New Roman" w:cs="Times New Roman"/>
          <w:color w:val="auto"/>
          <w:highlight w:val="none"/>
          <w:shd w:val="clear" w:color="auto" w:fill="auto"/>
          <w:lang w:val="en-US" w:eastAsia="zh-CN"/>
        </w:rPr>
        <w:t>30</w:t>
      </w:r>
      <w:r>
        <w:rPr>
          <w:rStyle w:val="34"/>
          <w:rFonts w:hint="eastAsia" w:ascii="仿宋_GB2312" w:hAnsi="仿宋" w:eastAsia="仿宋_GB2312" w:cs="宋体"/>
          <w:color w:val="auto"/>
          <w:highlight w:val="none"/>
          <w:shd w:val="clear" w:color="auto" w:fill="auto"/>
        </w:rPr>
        <w:t>天的，甲方有权解除合同。</w:t>
      </w:r>
    </w:p>
    <w:p>
      <w:pPr>
        <w:pStyle w:val="29"/>
        <w:ind w:firstLine="600"/>
        <w:rPr>
          <w:color w:val="auto"/>
          <w:highlight w:val="none"/>
        </w:rPr>
      </w:pPr>
      <w:r>
        <w:rPr>
          <w:rStyle w:val="34"/>
          <w:rFonts w:hint="eastAsia" w:ascii="仿宋_GB2312" w:hAnsi="仿宋" w:eastAsia="仿宋_GB2312" w:cs="宋体"/>
          <w:color w:val="auto"/>
          <w:highlight w:val="none"/>
          <w:shd w:val="clear" w:color="auto" w:fill="auto"/>
        </w:rPr>
        <w:t>12.4 乙方擅自改变材料，甲方有权要求改正，并处合同总价款10%的违约金，乙方不能改正的，甲方有权解除合同。</w:t>
      </w:r>
    </w:p>
    <w:p>
      <w:pPr>
        <w:pStyle w:val="4"/>
        <w:ind w:firstLine="640"/>
        <w:rPr>
          <w:rStyle w:val="34"/>
          <w:rFonts w:hint="eastAsia" w:ascii="仿宋" w:hAnsi="仿宋" w:eastAsia="黑体" w:cs="Times New Roman"/>
          <w:color w:val="auto"/>
          <w:sz w:val="32"/>
          <w:szCs w:val="24"/>
          <w:highlight w:val="none"/>
          <w:shd w:val="clear" w:color="auto" w:fill="auto"/>
        </w:rPr>
      </w:pPr>
      <w:bookmarkStart w:id="39" w:name="_Toc24707269"/>
      <w:r>
        <w:rPr>
          <w:rStyle w:val="34"/>
          <w:rFonts w:hint="eastAsia" w:ascii="仿宋" w:hAnsi="仿宋" w:eastAsia="黑体" w:cs="Times New Roman"/>
          <w:color w:val="auto"/>
          <w:sz w:val="32"/>
          <w:szCs w:val="24"/>
          <w:highlight w:val="none"/>
          <w:shd w:val="clear" w:color="auto" w:fill="auto"/>
        </w:rPr>
        <w:t>第十三条  争议解决方式</w:t>
      </w:r>
      <w:bookmarkEnd w:id="39"/>
    </w:p>
    <w:p>
      <w:pPr>
        <w:pStyle w:val="29"/>
        <w:ind w:firstLine="600"/>
        <w:rPr>
          <w:color w:val="auto"/>
          <w:highlight w:val="none"/>
        </w:rPr>
      </w:pPr>
      <w:r>
        <w:rPr>
          <w:rFonts w:hint="eastAsia"/>
          <w:color w:val="auto"/>
          <w:highlight w:val="none"/>
        </w:rPr>
        <w:t>若在合同履行过程中发生争议，甲乙双方应当友好协商解决，协商不成，按以下第（</w:t>
      </w:r>
      <w:r>
        <w:rPr>
          <w:rFonts w:hint="eastAsia"/>
          <w:color w:val="auto"/>
          <w:highlight w:val="none"/>
          <w:lang w:val="en-US" w:eastAsia="zh-CN"/>
        </w:rPr>
        <w:t>一</w:t>
      </w:r>
      <w:r>
        <w:rPr>
          <w:rFonts w:hint="eastAsia"/>
          <w:color w:val="auto"/>
          <w:highlight w:val="none"/>
        </w:rPr>
        <w:t>） 种方式解决：</w:t>
      </w:r>
    </w:p>
    <w:p>
      <w:pPr>
        <w:pStyle w:val="29"/>
        <w:ind w:firstLine="600"/>
        <w:rPr>
          <w:color w:val="auto"/>
          <w:highlight w:val="none"/>
        </w:rPr>
      </w:pPr>
      <w:r>
        <w:rPr>
          <w:rFonts w:hint="eastAsia"/>
          <w:color w:val="auto"/>
          <w:highlight w:val="none"/>
        </w:rPr>
        <w:t>（一）提交重庆仲裁委员会，按照申请仲裁时该会现行有效的仲裁规则进行仲裁。</w:t>
      </w:r>
    </w:p>
    <w:p>
      <w:pPr>
        <w:pStyle w:val="29"/>
        <w:ind w:firstLine="600"/>
        <w:rPr>
          <w:color w:val="auto"/>
          <w:highlight w:val="none"/>
        </w:rPr>
      </w:pPr>
      <w:r>
        <w:rPr>
          <w:rFonts w:hint="eastAsia"/>
          <w:color w:val="auto"/>
          <w:highlight w:val="none"/>
        </w:rPr>
        <w:t>（二）向甲方所在地有管辖权的人民法院起诉。</w:t>
      </w:r>
    </w:p>
    <w:p>
      <w:pPr>
        <w:pStyle w:val="4"/>
        <w:ind w:firstLine="640"/>
        <w:rPr>
          <w:rStyle w:val="34"/>
          <w:rFonts w:hint="eastAsia" w:ascii="仿宋" w:hAnsi="仿宋" w:eastAsia="黑体" w:cs="Times New Roman"/>
          <w:color w:val="auto"/>
          <w:sz w:val="32"/>
          <w:szCs w:val="24"/>
          <w:highlight w:val="none"/>
          <w:shd w:val="clear" w:color="auto" w:fill="auto"/>
        </w:rPr>
      </w:pPr>
      <w:bookmarkStart w:id="40" w:name="_Toc24707270"/>
      <w:r>
        <w:rPr>
          <w:rStyle w:val="34"/>
          <w:rFonts w:hint="eastAsia" w:ascii="仿宋" w:hAnsi="仿宋" w:eastAsia="黑体" w:cs="Times New Roman"/>
          <w:color w:val="auto"/>
          <w:sz w:val="32"/>
          <w:szCs w:val="24"/>
          <w:highlight w:val="none"/>
          <w:shd w:val="clear" w:color="auto" w:fill="auto"/>
        </w:rPr>
        <w:t>第十四条  通知与送达</w:t>
      </w:r>
      <w:bookmarkEnd w:id="40"/>
    </w:p>
    <w:p>
      <w:pPr>
        <w:pStyle w:val="29"/>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29"/>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29"/>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9"/>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29"/>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29"/>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29"/>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color w:val="auto"/>
          <w:highlight w:val="none"/>
        </w:rPr>
      </w:pPr>
      <w:bookmarkStart w:id="41" w:name="_Toc24707271"/>
      <w:r>
        <w:rPr>
          <w:rStyle w:val="34"/>
          <w:rFonts w:hint="eastAsia" w:ascii="仿宋" w:hAnsi="仿宋" w:eastAsia="黑体" w:cs="Times New Roman"/>
          <w:color w:val="auto"/>
          <w:sz w:val="32"/>
          <w:szCs w:val="24"/>
          <w:highlight w:val="none"/>
          <w:shd w:val="clear" w:color="auto" w:fill="auto"/>
        </w:rPr>
        <w:t>第十五条 不可抗力</w:t>
      </w:r>
      <w:bookmarkEnd w:id="41"/>
    </w:p>
    <w:p>
      <w:pPr>
        <w:pStyle w:val="29"/>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34"/>
          <w:rFonts w:hint="eastAsia" w:ascii="仿宋" w:hAnsi="仿宋" w:eastAsia="黑体" w:cs="Times New Roman"/>
          <w:color w:val="auto"/>
          <w:sz w:val="32"/>
          <w:szCs w:val="24"/>
          <w:highlight w:val="none"/>
          <w:shd w:val="clear" w:color="auto" w:fill="auto"/>
        </w:rPr>
      </w:pPr>
      <w:bookmarkStart w:id="42" w:name="_Toc24707272"/>
      <w:r>
        <w:rPr>
          <w:rStyle w:val="34"/>
          <w:rFonts w:hint="eastAsia" w:ascii="仿宋" w:hAnsi="仿宋" w:eastAsia="黑体" w:cs="Times New Roman"/>
          <w:color w:val="auto"/>
          <w:sz w:val="32"/>
          <w:szCs w:val="24"/>
          <w:highlight w:val="none"/>
          <w:shd w:val="clear" w:color="auto" w:fill="auto"/>
        </w:rPr>
        <w:t>第十六条  补充协议</w:t>
      </w:r>
      <w:bookmarkEnd w:id="42"/>
    </w:p>
    <w:p>
      <w:pPr>
        <w:pStyle w:val="29"/>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29"/>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rStyle w:val="34"/>
          <w:rFonts w:hint="eastAsia" w:ascii="仿宋" w:hAnsi="仿宋" w:eastAsia="黑体" w:cs="Times New Roman"/>
          <w:color w:val="auto"/>
          <w:sz w:val="32"/>
          <w:szCs w:val="24"/>
          <w:highlight w:val="none"/>
          <w:shd w:val="clear" w:color="auto" w:fill="auto"/>
        </w:rPr>
      </w:pPr>
      <w:bookmarkStart w:id="43" w:name="_Toc24707273"/>
      <w:r>
        <w:rPr>
          <w:rStyle w:val="34"/>
          <w:rFonts w:hint="eastAsia" w:ascii="仿宋" w:hAnsi="仿宋" w:eastAsia="黑体" w:cs="Times New Roman"/>
          <w:color w:val="auto"/>
          <w:sz w:val="32"/>
          <w:szCs w:val="24"/>
          <w:highlight w:val="none"/>
          <w:shd w:val="clear" w:color="auto" w:fill="auto"/>
        </w:rPr>
        <w:t>第十七条  保密条款</w:t>
      </w:r>
      <w:bookmarkEnd w:id="43"/>
    </w:p>
    <w:p>
      <w:pPr>
        <w:pStyle w:val="29"/>
        <w:ind w:firstLine="600"/>
        <w:rPr>
          <w:rStyle w:val="34"/>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34"/>
          <w:rFonts w:ascii="仿宋" w:hAnsi="仿宋" w:eastAsia="黑体" w:cs="Times New Roman"/>
          <w:color w:val="auto"/>
          <w:sz w:val="32"/>
          <w:szCs w:val="24"/>
          <w:highlight w:val="none"/>
          <w:shd w:val="clear" w:color="auto" w:fill="auto"/>
        </w:rPr>
      </w:pPr>
      <w:bookmarkStart w:id="44" w:name="_Toc24707274"/>
      <w:r>
        <w:rPr>
          <w:rStyle w:val="34"/>
          <w:rFonts w:hint="eastAsia" w:ascii="仿宋" w:hAnsi="仿宋" w:eastAsia="黑体" w:cs="Times New Roman"/>
          <w:color w:val="auto"/>
          <w:sz w:val="32"/>
          <w:szCs w:val="24"/>
          <w:highlight w:val="none"/>
          <w:shd w:val="clear" w:color="auto" w:fill="auto"/>
        </w:rPr>
        <w:t>第十八条  其他</w:t>
      </w:r>
      <w:bookmarkEnd w:id="44"/>
    </w:p>
    <w:p>
      <w:pPr>
        <w:pStyle w:val="29"/>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29"/>
        <w:ind w:firstLine="600"/>
        <w:rPr>
          <w:color w:val="auto"/>
          <w:highlight w:val="none"/>
        </w:rPr>
      </w:pPr>
      <w:r>
        <w:rPr>
          <w:rFonts w:hint="eastAsia"/>
          <w:color w:val="auto"/>
          <w:highlight w:val="none"/>
        </w:rPr>
        <w:t>18.2本合同一式</w:t>
      </w:r>
      <w:r>
        <w:rPr>
          <w:rFonts w:hint="eastAsia" w:ascii="仿宋" w:hAnsi="仿宋" w:eastAsia="仿宋" w:cs="仿宋"/>
          <w:color w:val="auto"/>
          <w:sz w:val="28"/>
          <w:szCs w:val="28"/>
          <w:highlight w:val="none"/>
          <w:u w:val="none"/>
          <w:lang w:eastAsia="zh-CN"/>
        </w:rPr>
        <w:t>柒</w:t>
      </w:r>
      <w:r>
        <w:rPr>
          <w:rFonts w:hint="eastAsia"/>
          <w:color w:val="auto"/>
          <w:highlight w:val="none"/>
        </w:rPr>
        <w:t>份，正本</w:t>
      </w:r>
      <w:r>
        <w:rPr>
          <w:rFonts w:hint="eastAsia" w:ascii="仿宋" w:hAnsi="仿宋" w:eastAsia="仿宋" w:cs="仿宋"/>
          <w:color w:val="auto"/>
          <w:sz w:val="28"/>
          <w:szCs w:val="28"/>
          <w:highlight w:val="none"/>
          <w:u w:val="none"/>
          <w:lang w:val="en-US" w:eastAsia="zh-CN"/>
        </w:rPr>
        <w:t>两</w:t>
      </w:r>
      <w:r>
        <w:rPr>
          <w:rFonts w:hint="eastAsia"/>
          <w:color w:val="auto"/>
          <w:highlight w:val="none"/>
        </w:rPr>
        <w:t>份，由甲乙双方各执</w:t>
      </w:r>
      <w:r>
        <w:rPr>
          <w:rFonts w:hint="eastAsia"/>
          <w:color w:val="auto"/>
          <w:highlight w:val="none"/>
          <w:u w:val="none"/>
          <w:lang w:val="en-US" w:eastAsia="zh-CN"/>
        </w:rPr>
        <w:t>一</w:t>
      </w:r>
      <w:r>
        <w:rPr>
          <w:rFonts w:hint="eastAsia"/>
          <w:color w:val="auto"/>
          <w:highlight w:val="none"/>
        </w:rPr>
        <w:t>份，副本</w:t>
      </w:r>
      <w:r>
        <w:rPr>
          <w:rFonts w:hint="eastAsia" w:ascii="仿宋" w:hAnsi="仿宋" w:eastAsia="仿宋" w:cs="仿宋"/>
          <w:color w:val="auto"/>
          <w:sz w:val="28"/>
          <w:szCs w:val="28"/>
          <w:highlight w:val="none"/>
          <w:u w:val="none"/>
          <w:lang w:val="en-US" w:eastAsia="zh-CN"/>
        </w:rPr>
        <w:t>五</w:t>
      </w:r>
      <w:r>
        <w:rPr>
          <w:rFonts w:hint="eastAsia"/>
          <w:color w:val="auto"/>
          <w:highlight w:val="none"/>
        </w:rPr>
        <w:t>份，由甲方执</w:t>
      </w:r>
      <w:r>
        <w:rPr>
          <w:rFonts w:hint="eastAsia" w:ascii="仿宋" w:hAnsi="仿宋" w:eastAsia="仿宋" w:cs="仿宋"/>
          <w:color w:val="auto"/>
          <w:sz w:val="28"/>
          <w:szCs w:val="28"/>
          <w:highlight w:val="none"/>
          <w:u w:val="none"/>
          <w:lang w:val="en-US" w:eastAsia="zh-CN"/>
        </w:rPr>
        <w:t>四</w:t>
      </w:r>
      <w:r>
        <w:rPr>
          <w:rFonts w:hint="eastAsia"/>
          <w:color w:val="auto"/>
          <w:highlight w:val="none"/>
        </w:rPr>
        <w:t>份，乙方执</w:t>
      </w:r>
      <w:r>
        <w:rPr>
          <w:rFonts w:hint="eastAsia" w:ascii="仿宋" w:hAnsi="仿宋" w:eastAsia="仿宋" w:cs="仿宋"/>
          <w:color w:val="auto"/>
          <w:sz w:val="28"/>
          <w:szCs w:val="28"/>
          <w:highlight w:val="none"/>
          <w:u w:val="none"/>
          <w:lang w:val="en-US" w:eastAsia="zh-CN"/>
        </w:rPr>
        <w:t>一</w:t>
      </w:r>
      <w:r>
        <w:rPr>
          <w:rFonts w:hint="eastAsia"/>
          <w:color w:val="auto"/>
          <w:highlight w:val="none"/>
        </w:rPr>
        <w:t>份，正副本均具同等法律效力。</w:t>
      </w:r>
    </w:p>
    <w:p>
      <w:pPr>
        <w:pStyle w:val="29"/>
        <w:ind w:firstLine="600"/>
        <w:rPr>
          <w:color w:val="auto"/>
          <w:highlight w:val="none"/>
        </w:rPr>
      </w:pPr>
    </w:p>
    <w:p>
      <w:pPr>
        <w:pStyle w:val="29"/>
        <w:ind w:firstLine="600"/>
        <w:rPr>
          <w:color w:val="auto"/>
          <w:highlight w:val="none"/>
        </w:rPr>
      </w:pPr>
      <w:r>
        <w:rPr>
          <w:rFonts w:hint="eastAsia"/>
          <w:color w:val="auto"/>
          <w:highlight w:val="none"/>
        </w:rPr>
        <w:t>（以下无正文）</w:t>
      </w:r>
    </w:p>
    <w:p>
      <w:pPr>
        <w:pStyle w:val="29"/>
        <w:ind w:firstLine="0" w:firstLineChars="0"/>
        <w:rPr>
          <w:rStyle w:val="34"/>
          <w:rFonts w:ascii="仿宋" w:eastAsia="仿宋"/>
          <w:color w:val="auto"/>
          <w:sz w:val="24"/>
          <w:szCs w:val="24"/>
          <w:highlight w:val="none"/>
          <w:lang w:val="zh-CN"/>
        </w:rPr>
      </w:pPr>
    </w:p>
    <w:p>
      <w:pPr>
        <w:pStyle w:val="29"/>
        <w:ind w:firstLine="0" w:firstLineChars="0"/>
        <w:rPr>
          <w:rStyle w:val="34"/>
          <w:rFonts w:ascii="仿宋" w:eastAsia="仿宋"/>
          <w:color w:val="auto"/>
          <w:sz w:val="24"/>
          <w:szCs w:val="24"/>
          <w:highlight w:val="none"/>
          <w:lang w:val="zh-CN"/>
        </w:rPr>
      </w:pPr>
    </w:p>
    <w:p>
      <w:pPr>
        <w:pStyle w:val="29"/>
        <w:ind w:firstLine="0" w:firstLineChars="0"/>
        <w:rPr>
          <w:rStyle w:val="34"/>
          <w:rFonts w:hint="eastAsia" w:ascii="仿宋" w:eastAsia="仿宋"/>
          <w:color w:val="auto"/>
          <w:sz w:val="24"/>
          <w:szCs w:val="24"/>
          <w:highlight w:val="none"/>
          <w:lang w:val="zh-CN"/>
        </w:rPr>
      </w:pP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 xml:space="preserve">甲方：（盖章）                   </w:t>
      </w:r>
      <w:r>
        <w:rPr>
          <w:rStyle w:val="34"/>
          <w:rFonts w:ascii="仿宋_GB2312" w:hAnsi="仿宋" w:eastAsia="仿宋_GB2312" w:cs="宋体"/>
          <w:color w:val="auto"/>
          <w:highlight w:val="none"/>
          <w:shd w:val="clear" w:color="auto" w:fill="auto"/>
        </w:rPr>
        <w:t xml:space="preserve">  </w:t>
      </w:r>
      <w:r>
        <w:rPr>
          <w:rStyle w:val="34"/>
          <w:rFonts w:hint="eastAsia" w:ascii="仿宋_GB2312" w:hAnsi="仿宋" w:eastAsia="仿宋_GB2312" w:cs="宋体"/>
          <w:color w:val="auto"/>
          <w:highlight w:val="none"/>
          <w:shd w:val="clear" w:color="auto" w:fill="auto"/>
        </w:rPr>
        <w:t>乙方：（盖章）</w:t>
      </w:r>
    </w:p>
    <w:p>
      <w:pPr>
        <w:pStyle w:val="29"/>
        <w:ind w:firstLine="60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 xml:space="preserve">         </w:t>
      </w:r>
      <w:r>
        <w:rPr>
          <w:rStyle w:val="34"/>
          <w:rFonts w:ascii="仿宋_GB2312" w:hAnsi="仿宋" w:eastAsia="仿宋_GB2312" w:cs="宋体"/>
          <w:color w:val="auto"/>
          <w:highlight w:val="none"/>
          <w:shd w:val="clear" w:color="auto" w:fill="auto"/>
        </w:rPr>
        <w:t xml:space="preserve">     </w:t>
      </w: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 xml:space="preserve">法定代表人：                   </w:t>
      </w:r>
      <w:r>
        <w:rPr>
          <w:rStyle w:val="34"/>
          <w:rFonts w:ascii="仿宋_GB2312" w:hAnsi="仿宋" w:eastAsia="仿宋_GB2312" w:cs="宋体"/>
          <w:color w:val="auto"/>
          <w:highlight w:val="none"/>
          <w:shd w:val="clear" w:color="auto" w:fill="auto"/>
        </w:rPr>
        <w:t xml:space="preserve">   </w:t>
      </w:r>
      <w:r>
        <w:rPr>
          <w:rStyle w:val="34"/>
          <w:rFonts w:hint="eastAsia" w:ascii="仿宋_GB2312" w:hAnsi="仿宋" w:eastAsia="仿宋_GB2312" w:cs="宋体"/>
          <w:color w:val="auto"/>
          <w:highlight w:val="none"/>
          <w:shd w:val="clear" w:color="auto" w:fill="auto"/>
        </w:rPr>
        <w:t xml:space="preserve">法定代表人： </w:t>
      </w:r>
    </w:p>
    <w:p>
      <w:pPr>
        <w:pStyle w:val="29"/>
        <w:ind w:firstLine="0" w:firstLineChars="0"/>
        <w:rPr>
          <w:color w:val="auto"/>
          <w:highlight w:val="none"/>
        </w:rPr>
      </w:pPr>
      <w:r>
        <w:rPr>
          <w:rStyle w:val="34"/>
          <w:rFonts w:hint="eastAsia" w:ascii="仿宋_GB2312" w:hAnsi="仿宋" w:eastAsia="仿宋_GB2312" w:cs="宋体"/>
          <w:color w:val="auto"/>
          <w:highlight w:val="none"/>
          <w:shd w:val="clear" w:color="auto" w:fill="auto"/>
        </w:rPr>
        <w:t xml:space="preserve">委托代理人：                   </w:t>
      </w:r>
      <w:r>
        <w:rPr>
          <w:rStyle w:val="34"/>
          <w:rFonts w:ascii="仿宋_GB2312" w:hAnsi="仿宋" w:eastAsia="仿宋_GB2312" w:cs="宋体"/>
          <w:color w:val="auto"/>
          <w:highlight w:val="none"/>
          <w:shd w:val="clear" w:color="auto" w:fill="auto"/>
        </w:rPr>
        <w:t xml:space="preserve">   </w:t>
      </w:r>
      <w:r>
        <w:rPr>
          <w:rStyle w:val="34"/>
          <w:rFonts w:hint="eastAsia" w:ascii="仿宋_GB2312" w:hAnsi="仿宋" w:eastAsia="仿宋_GB2312" w:cs="宋体"/>
          <w:color w:val="auto"/>
          <w:highlight w:val="none"/>
          <w:shd w:val="clear" w:color="auto" w:fill="auto"/>
        </w:rPr>
        <w:t>委托代理人：</w:t>
      </w:r>
    </w:p>
    <w:p>
      <w:pPr>
        <w:pStyle w:val="29"/>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29"/>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29"/>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29"/>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29"/>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29"/>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29"/>
        <w:ind w:firstLine="480"/>
        <w:rPr>
          <w:rStyle w:val="34"/>
          <w:rFonts w:ascii="仿宋" w:eastAsia="仿宋"/>
          <w:color w:val="auto"/>
          <w:sz w:val="24"/>
          <w:szCs w:val="24"/>
          <w:highlight w:val="none"/>
          <w:lang w:val="zh-CN"/>
        </w:rPr>
      </w:pPr>
      <w:r>
        <w:rPr>
          <w:rStyle w:val="34"/>
          <w:rFonts w:hint="eastAsia" w:ascii="仿宋" w:eastAsia="仿宋"/>
          <w:color w:val="auto"/>
          <w:sz w:val="24"/>
          <w:szCs w:val="24"/>
          <w:highlight w:val="none"/>
          <w:lang w:val="zh-CN"/>
        </w:rPr>
        <w:t xml:space="preserve">   </w:t>
      </w:r>
    </w:p>
    <w:p>
      <w:pPr>
        <w:pStyle w:val="29"/>
        <w:ind w:firstLine="480"/>
        <w:rPr>
          <w:rStyle w:val="34"/>
          <w:rFonts w:ascii="仿宋" w:eastAsia="仿宋"/>
          <w:color w:val="auto"/>
          <w:sz w:val="24"/>
          <w:szCs w:val="24"/>
          <w:highlight w:val="none"/>
          <w:lang w:val="zh-CN"/>
        </w:rPr>
      </w:pPr>
    </w:p>
    <w:p>
      <w:pPr>
        <w:pStyle w:val="29"/>
        <w:ind w:firstLine="480"/>
        <w:rPr>
          <w:rStyle w:val="34"/>
          <w:rFonts w:ascii="仿宋" w:eastAsia="仿宋"/>
          <w:color w:val="auto"/>
          <w:sz w:val="24"/>
          <w:szCs w:val="24"/>
          <w:highlight w:val="none"/>
          <w:lang w:val="zh-CN"/>
        </w:rPr>
      </w:pP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合同签订时间：</w:t>
      </w:r>
    </w:p>
    <w:p>
      <w:pPr>
        <w:pStyle w:val="29"/>
        <w:ind w:firstLine="0" w:firstLineChars="0"/>
        <w:rPr>
          <w:rStyle w:val="34"/>
          <w:rFonts w:ascii="仿宋_GB2312" w:hAnsi="仿宋" w:eastAsia="仿宋_GB2312" w:cs="宋体"/>
          <w:color w:val="auto"/>
          <w:highlight w:val="none"/>
          <w:shd w:val="clear" w:color="auto" w:fill="auto"/>
        </w:rPr>
      </w:pPr>
      <w:r>
        <w:rPr>
          <w:rStyle w:val="34"/>
          <w:rFonts w:hint="eastAsia" w:ascii="仿宋_GB2312" w:hAnsi="仿宋" w:eastAsia="仿宋_GB2312" w:cs="宋体"/>
          <w:color w:val="auto"/>
          <w:highlight w:val="none"/>
          <w:shd w:val="clear" w:color="auto" w:fill="auto"/>
        </w:rPr>
        <w:t>合同签订地点：重庆江北国际机场</w:t>
      </w:r>
    </w:p>
    <w:p>
      <w:pPr>
        <w:pStyle w:val="29"/>
        <w:ind w:firstLine="600"/>
        <w:rPr>
          <w:color w:val="auto"/>
          <w:highlight w:val="none"/>
        </w:rPr>
      </w:pPr>
    </w:p>
    <w:p>
      <w:pPr>
        <w:pStyle w:val="29"/>
        <w:ind w:firstLine="600"/>
        <w:rPr>
          <w:color w:val="auto"/>
          <w:highlight w:val="none"/>
        </w:rPr>
      </w:pPr>
    </w:p>
    <w:p>
      <w:pPr>
        <w:widowControl/>
        <w:jc w:val="left"/>
        <w:rPr>
          <w:rFonts w:hint="eastAsia" w:ascii="仿宋" w:hAnsi="仿宋" w:eastAsia="仿宋" w:cs="仿宋"/>
          <w:color w:val="auto"/>
          <w:sz w:val="28"/>
          <w:szCs w:val="28"/>
          <w:highlight w:val="none"/>
          <w:u w:val="none"/>
          <w:lang w:eastAsia="zh-CN"/>
        </w:rPr>
      </w:pPr>
    </w:p>
    <w:sectPr>
      <w:headerReference r:id="rId9" w:type="default"/>
      <w:footerReference r:id="rId10" w:type="default"/>
      <w:type w:val="continuous"/>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STZhongsong">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val="en-US" w:eastAsia="zh-CN"/>
      </w:rPr>
    </w:pP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9A9F20F"/>
    <w:multiLevelType w:val="singleLevel"/>
    <w:tmpl w:val="D9A9F20F"/>
    <w:lvl w:ilvl="0" w:tentative="0">
      <w:start w:val="1"/>
      <w:numFmt w:val="chineseCounting"/>
      <w:suff w:val="nothing"/>
      <w:lvlText w:val="（%1）"/>
      <w:lvlJc w:val="left"/>
      <w:rPr>
        <w:rFonts w:hint="eastAsia"/>
      </w:r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B7pJN3MPRJPqPmjj23PFJI9c0vg=" w:salt="ZyTTjpdjVeoTVLRfNh9ykg=="/>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2629229984384126ND"/>
    <w:docVar w:name="aztPrintName" w:val="000000ESAOAPRINT"/>
    <w:docVar w:name="aztPrintType" w:val="2"/>
  </w:docVars>
  <w:rsids>
    <w:rsidRoot w:val="007E19FA"/>
    <w:rsid w:val="0000097F"/>
    <w:rsid w:val="00005333"/>
    <w:rsid w:val="00006788"/>
    <w:rsid w:val="00014550"/>
    <w:rsid w:val="00017CC8"/>
    <w:rsid w:val="0002289E"/>
    <w:rsid w:val="00023008"/>
    <w:rsid w:val="00025AEC"/>
    <w:rsid w:val="000265C7"/>
    <w:rsid w:val="00031BB8"/>
    <w:rsid w:val="00032715"/>
    <w:rsid w:val="00035345"/>
    <w:rsid w:val="000371A2"/>
    <w:rsid w:val="00050D62"/>
    <w:rsid w:val="0005249A"/>
    <w:rsid w:val="0005588C"/>
    <w:rsid w:val="00056869"/>
    <w:rsid w:val="000611DA"/>
    <w:rsid w:val="000631F6"/>
    <w:rsid w:val="00063CCA"/>
    <w:rsid w:val="00073A28"/>
    <w:rsid w:val="000740F0"/>
    <w:rsid w:val="00076511"/>
    <w:rsid w:val="000825D0"/>
    <w:rsid w:val="00084B6F"/>
    <w:rsid w:val="00095E3A"/>
    <w:rsid w:val="000A3B23"/>
    <w:rsid w:val="000B4109"/>
    <w:rsid w:val="000B753E"/>
    <w:rsid w:val="000B7659"/>
    <w:rsid w:val="000C02DD"/>
    <w:rsid w:val="000D521A"/>
    <w:rsid w:val="000D5A82"/>
    <w:rsid w:val="000E2F2F"/>
    <w:rsid w:val="000E5E1E"/>
    <w:rsid w:val="000F3310"/>
    <w:rsid w:val="000F4E07"/>
    <w:rsid w:val="00103882"/>
    <w:rsid w:val="001066F6"/>
    <w:rsid w:val="00106E21"/>
    <w:rsid w:val="001209E3"/>
    <w:rsid w:val="00122DB4"/>
    <w:rsid w:val="001257D9"/>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D5787"/>
    <w:rsid w:val="001E04F7"/>
    <w:rsid w:val="001E0DD3"/>
    <w:rsid w:val="001F2E0C"/>
    <w:rsid w:val="001F52E9"/>
    <w:rsid w:val="00202EEA"/>
    <w:rsid w:val="002111D0"/>
    <w:rsid w:val="002170C0"/>
    <w:rsid w:val="00217CD6"/>
    <w:rsid w:val="00223328"/>
    <w:rsid w:val="00224DEB"/>
    <w:rsid w:val="00230435"/>
    <w:rsid w:val="002306C8"/>
    <w:rsid w:val="002334E4"/>
    <w:rsid w:val="00234E5F"/>
    <w:rsid w:val="002362BD"/>
    <w:rsid w:val="002369A5"/>
    <w:rsid w:val="00243B2C"/>
    <w:rsid w:val="002544C1"/>
    <w:rsid w:val="00264544"/>
    <w:rsid w:val="00266045"/>
    <w:rsid w:val="00266533"/>
    <w:rsid w:val="0028006E"/>
    <w:rsid w:val="002834F6"/>
    <w:rsid w:val="00286536"/>
    <w:rsid w:val="00287E0A"/>
    <w:rsid w:val="002900C3"/>
    <w:rsid w:val="00292128"/>
    <w:rsid w:val="002B75E8"/>
    <w:rsid w:val="002C0C45"/>
    <w:rsid w:val="002C46DA"/>
    <w:rsid w:val="002C52F9"/>
    <w:rsid w:val="002D69DF"/>
    <w:rsid w:val="002D6F8E"/>
    <w:rsid w:val="002D7AB8"/>
    <w:rsid w:val="002E5FDE"/>
    <w:rsid w:val="002F5A5B"/>
    <w:rsid w:val="002F6E00"/>
    <w:rsid w:val="002F7CA1"/>
    <w:rsid w:val="002F7F31"/>
    <w:rsid w:val="00300C2A"/>
    <w:rsid w:val="00306DDC"/>
    <w:rsid w:val="00311324"/>
    <w:rsid w:val="003141A2"/>
    <w:rsid w:val="00317034"/>
    <w:rsid w:val="00332BF8"/>
    <w:rsid w:val="00333793"/>
    <w:rsid w:val="00333BD0"/>
    <w:rsid w:val="00340E6F"/>
    <w:rsid w:val="0034710B"/>
    <w:rsid w:val="00347BDE"/>
    <w:rsid w:val="00351066"/>
    <w:rsid w:val="003534A4"/>
    <w:rsid w:val="00357C50"/>
    <w:rsid w:val="00361994"/>
    <w:rsid w:val="003637A2"/>
    <w:rsid w:val="00370602"/>
    <w:rsid w:val="003723A5"/>
    <w:rsid w:val="003737DF"/>
    <w:rsid w:val="003756AB"/>
    <w:rsid w:val="003840CF"/>
    <w:rsid w:val="00391B61"/>
    <w:rsid w:val="00392422"/>
    <w:rsid w:val="0039415B"/>
    <w:rsid w:val="00395389"/>
    <w:rsid w:val="00396376"/>
    <w:rsid w:val="003A2048"/>
    <w:rsid w:val="003A228A"/>
    <w:rsid w:val="003A2974"/>
    <w:rsid w:val="003A4373"/>
    <w:rsid w:val="003B06EF"/>
    <w:rsid w:val="003B3EA4"/>
    <w:rsid w:val="003B4338"/>
    <w:rsid w:val="003B7133"/>
    <w:rsid w:val="003B79B9"/>
    <w:rsid w:val="003C7185"/>
    <w:rsid w:val="003D6803"/>
    <w:rsid w:val="003E074E"/>
    <w:rsid w:val="003F167C"/>
    <w:rsid w:val="003F78CE"/>
    <w:rsid w:val="00412CED"/>
    <w:rsid w:val="00413E38"/>
    <w:rsid w:val="00420115"/>
    <w:rsid w:val="00422256"/>
    <w:rsid w:val="00422C70"/>
    <w:rsid w:val="00424AC5"/>
    <w:rsid w:val="00425623"/>
    <w:rsid w:val="00425B77"/>
    <w:rsid w:val="0042735B"/>
    <w:rsid w:val="00430428"/>
    <w:rsid w:val="00441244"/>
    <w:rsid w:val="00442A2F"/>
    <w:rsid w:val="00445377"/>
    <w:rsid w:val="00452541"/>
    <w:rsid w:val="00453F3C"/>
    <w:rsid w:val="00455CFC"/>
    <w:rsid w:val="004655F4"/>
    <w:rsid w:val="00467F45"/>
    <w:rsid w:val="004820A9"/>
    <w:rsid w:val="00485F00"/>
    <w:rsid w:val="00490CF8"/>
    <w:rsid w:val="00493AD9"/>
    <w:rsid w:val="0049584A"/>
    <w:rsid w:val="004A06D9"/>
    <w:rsid w:val="004A0C85"/>
    <w:rsid w:val="004A743B"/>
    <w:rsid w:val="004B146A"/>
    <w:rsid w:val="004B3DF7"/>
    <w:rsid w:val="004B7D2E"/>
    <w:rsid w:val="004C047C"/>
    <w:rsid w:val="004C0973"/>
    <w:rsid w:val="004D050B"/>
    <w:rsid w:val="004D79C1"/>
    <w:rsid w:val="004E45E3"/>
    <w:rsid w:val="004F2FAB"/>
    <w:rsid w:val="004F307F"/>
    <w:rsid w:val="004F3384"/>
    <w:rsid w:val="004F3F16"/>
    <w:rsid w:val="004F6B0B"/>
    <w:rsid w:val="0052266E"/>
    <w:rsid w:val="0052576D"/>
    <w:rsid w:val="00550BF1"/>
    <w:rsid w:val="00566ECB"/>
    <w:rsid w:val="00567138"/>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35DBC"/>
    <w:rsid w:val="006448B9"/>
    <w:rsid w:val="00646279"/>
    <w:rsid w:val="0064646F"/>
    <w:rsid w:val="0064740A"/>
    <w:rsid w:val="00653540"/>
    <w:rsid w:val="006603E9"/>
    <w:rsid w:val="00660788"/>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19A4"/>
    <w:rsid w:val="007A23F4"/>
    <w:rsid w:val="007A25BA"/>
    <w:rsid w:val="007B21E1"/>
    <w:rsid w:val="007C1F70"/>
    <w:rsid w:val="007E0D23"/>
    <w:rsid w:val="007E19FA"/>
    <w:rsid w:val="007E3265"/>
    <w:rsid w:val="007E32F9"/>
    <w:rsid w:val="007E4029"/>
    <w:rsid w:val="007E7818"/>
    <w:rsid w:val="007F0083"/>
    <w:rsid w:val="008137A3"/>
    <w:rsid w:val="0081544B"/>
    <w:rsid w:val="00817F13"/>
    <w:rsid w:val="0082385B"/>
    <w:rsid w:val="00833172"/>
    <w:rsid w:val="00835B1F"/>
    <w:rsid w:val="008602A9"/>
    <w:rsid w:val="008760AC"/>
    <w:rsid w:val="008800A8"/>
    <w:rsid w:val="00883BBC"/>
    <w:rsid w:val="00883E00"/>
    <w:rsid w:val="008903C7"/>
    <w:rsid w:val="008913B8"/>
    <w:rsid w:val="00892C7E"/>
    <w:rsid w:val="008A0078"/>
    <w:rsid w:val="008B073C"/>
    <w:rsid w:val="008B5D37"/>
    <w:rsid w:val="008C5EA9"/>
    <w:rsid w:val="008C74BC"/>
    <w:rsid w:val="008D2A20"/>
    <w:rsid w:val="008D3273"/>
    <w:rsid w:val="008E2C9F"/>
    <w:rsid w:val="00904917"/>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21AE"/>
    <w:rsid w:val="00A279E1"/>
    <w:rsid w:val="00A307C5"/>
    <w:rsid w:val="00A51639"/>
    <w:rsid w:val="00A64B28"/>
    <w:rsid w:val="00A6743C"/>
    <w:rsid w:val="00A70F36"/>
    <w:rsid w:val="00A73E6F"/>
    <w:rsid w:val="00A74F64"/>
    <w:rsid w:val="00A85141"/>
    <w:rsid w:val="00A9211E"/>
    <w:rsid w:val="00AA173A"/>
    <w:rsid w:val="00AA3DFD"/>
    <w:rsid w:val="00AA7541"/>
    <w:rsid w:val="00AB18AB"/>
    <w:rsid w:val="00AB2C3C"/>
    <w:rsid w:val="00AD0062"/>
    <w:rsid w:val="00AD04F5"/>
    <w:rsid w:val="00AD1B3B"/>
    <w:rsid w:val="00AD3C9F"/>
    <w:rsid w:val="00AD460B"/>
    <w:rsid w:val="00AD5218"/>
    <w:rsid w:val="00AE1E61"/>
    <w:rsid w:val="00AF1739"/>
    <w:rsid w:val="00AF6F3E"/>
    <w:rsid w:val="00B07E47"/>
    <w:rsid w:val="00B11888"/>
    <w:rsid w:val="00B22AD5"/>
    <w:rsid w:val="00B23001"/>
    <w:rsid w:val="00B27562"/>
    <w:rsid w:val="00B31151"/>
    <w:rsid w:val="00B3115C"/>
    <w:rsid w:val="00B36E5E"/>
    <w:rsid w:val="00B44196"/>
    <w:rsid w:val="00B51491"/>
    <w:rsid w:val="00B719CE"/>
    <w:rsid w:val="00B73FE8"/>
    <w:rsid w:val="00B81C3E"/>
    <w:rsid w:val="00B83591"/>
    <w:rsid w:val="00BA0571"/>
    <w:rsid w:val="00BA1401"/>
    <w:rsid w:val="00BA1D26"/>
    <w:rsid w:val="00BB07FB"/>
    <w:rsid w:val="00BB0CC3"/>
    <w:rsid w:val="00BB3E8E"/>
    <w:rsid w:val="00BC4195"/>
    <w:rsid w:val="00BD6C6B"/>
    <w:rsid w:val="00BE72AF"/>
    <w:rsid w:val="00BF544F"/>
    <w:rsid w:val="00C0300D"/>
    <w:rsid w:val="00C03881"/>
    <w:rsid w:val="00C062CB"/>
    <w:rsid w:val="00C25DD0"/>
    <w:rsid w:val="00C33B30"/>
    <w:rsid w:val="00C36C02"/>
    <w:rsid w:val="00C3798E"/>
    <w:rsid w:val="00C40CFF"/>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D6F54"/>
    <w:rsid w:val="00CE208B"/>
    <w:rsid w:val="00CF5BF8"/>
    <w:rsid w:val="00CF7A22"/>
    <w:rsid w:val="00D0352F"/>
    <w:rsid w:val="00D125EB"/>
    <w:rsid w:val="00D149F1"/>
    <w:rsid w:val="00D45135"/>
    <w:rsid w:val="00D47F13"/>
    <w:rsid w:val="00D543C9"/>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5F0"/>
    <w:rsid w:val="00E25628"/>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97D2E"/>
    <w:rsid w:val="00EB0F23"/>
    <w:rsid w:val="00EC4E18"/>
    <w:rsid w:val="00ED64C2"/>
    <w:rsid w:val="00EE616E"/>
    <w:rsid w:val="00EE623D"/>
    <w:rsid w:val="00F02E67"/>
    <w:rsid w:val="00F1365F"/>
    <w:rsid w:val="00F172DB"/>
    <w:rsid w:val="00F23D92"/>
    <w:rsid w:val="00F25E04"/>
    <w:rsid w:val="00F2773C"/>
    <w:rsid w:val="00F3207E"/>
    <w:rsid w:val="00F33397"/>
    <w:rsid w:val="00F33FB2"/>
    <w:rsid w:val="00F40190"/>
    <w:rsid w:val="00F47572"/>
    <w:rsid w:val="00F479F7"/>
    <w:rsid w:val="00F50101"/>
    <w:rsid w:val="00F5221B"/>
    <w:rsid w:val="00F534C5"/>
    <w:rsid w:val="00F62AC2"/>
    <w:rsid w:val="00F62E33"/>
    <w:rsid w:val="00F6300C"/>
    <w:rsid w:val="00F70CF8"/>
    <w:rsid w:val="00F74A15"/>
    <w:rsid w:val="00F8042D"/>
    <w:rsid w:val="00F83A66"/>
    <w:rsid w:val="00F85181"/>
    <w:rsid w:val="00FA17E2"/>
    <w:rsid w:val="00FA6503"/>
    <w:rsid w:val="00FB4220"/>
    <w:rsid w:val="00FD5A31"/>
    <w:rsid w:val="00FE7DA0"/>
    <w:rsid w:val="00FF1C7D"/>
    <w:rsid w:val="00FF5E49"/>
    <w:rsid w:val="018E717F"/>
    <w:rsid w:val="022A34F2"/>
    <w:rsid w:val="023B5B58"/>
    <w:rsid w:val="02B634E2"/>
    <w:rsid w:val="04837E41"/>
    <w:rsid w:val="05356C4A"/>
    <w:rsid w:val="06505279"/>
    <w:rsid w:val="069412A4"/>
    <w:rsid w:val="07C14C37"/>
    <w:rsid w:val="07E91676"/>
    <w:rsid w:val="08630319"/>
    <w:rsid w:val="099307A1"/>
    <w:rsid w:val="0A180E26"/>
    <w:rsid w:val="0A2948C6"/>
    <w:rsid w:val="0BCD5390"/>
    <w:rsid w:val="0CCE183B"/>
    <w:rsid w:val="0DFE66C9"/>
    <w:rsid w:val="10074056"/>
    <w:rsid w:val="10D90C51"/>
    <w:rsid w:val="12B728C6"/>
    <w:rsid w:val="12D87226"/>
    <w:rsid w:val="133F7FD3"/>
    <w:rsid w:val="13527C80"/>
    <w:rsid w:val="13776A03"/>
    <w:rsid w:val="140F1109"/>
    <w:rsid w:val="16620E8D"/>
    <w:rsid w:val="16B272CC"/>
    <w:rsid w:val="19211BFA"/>
    <w:rsid w:val="19297A3D"/>
    <w:rsid w:val="196A02A3"/>
    <w:rsid w:val="19D55196"/>
    <w:rsid w:val="1C2D30C9"/>
    <w:rsid w:val="1DA973FC"/>
    <w:rsid w:val="1F1078EE"/>
    <w:rsid w:val="212D69FF"/>
    <w:rsid w:val="21767781"/>
    <w:rsid w:val="22280CDE"/>
    <w:rsid w:val="22B83FA6"/>
    <w:rsid w:val="2482174F"/>
    <w:rsid w:val="255D2B10"/>
    <w:rsid w:val="25811B42"/>
    <w:rsid w:val="25D83657"/>
    <w:rsid w:val="26E66850"/>
    <w:rsid w:val="274969FE"/>
    <w:rsid w:val="29A57F4E"/>
    <w:rsid w:val="2D1B2E8E"/>
    <w:rsid w:val="2E276BA0"/>
    <w:rsid w:val="2E546585"/>
    <w:rsid w:val="2EDE6053"/>
    <w:rsid w:val="312877AB"/>
    <w:rsid w:val="31336510"/>
    <w:rsid w:val="316715D7"/>
    <w:rsid w:val="31F82EAA"/>
    <w:rsid w:val="34940C08"/>
    <w:rsid w:val="34BA1B79"/>
    <w:rsid w:val="34E318EB"/>
    <w:rsid w:val="371A0F9F"/>
    <w:rsid w:val="378A5A37"/>
    <w:rsid w:val="3B1F3CEB"/>
    <w:rsid w:val="3C94307F"/>
    <w:rsid w:val="3E0E496F"/>
    <w:rsid w:val="405F67CD"/>
    <w:rsid w:val="419E691D"/>
    <w:rsid w:val="425F6778"/>
    <w:rsid w:val="43EF0889"/>
    <w:rsid w:val="45970FA3"/>
    <w:rsid w:val="46D723C5"/>
    <w:rsid w:val="482F185E"/>
    <w:rsid w:val="48430A5D"/>
    <w:rsid w:val="49014EA6"/>
    <w:rsid w:val="4BF12E03"/>
    <w:rsid w:val="4C4213DE"/>
    <w:rsid w:val="4CC13384"/>
    <w:rsid w:val="4E203984"/>
    <w:rsid w:val="4EEB2464"/>
    <w:rsid w:val="4F8057D7"/>
    <w:rsid w:val="4F984FDD"/>
    <w:rsid w:val="50105137"/>
    <w:rsid w:val="50730CA2"/>
    <w:rsid w:val="509E1878"/>
    <w:rsid w:val="521C4028"/>
    <w:rsid w:val="534209F3"/>
    <w:rsid w:val="53AB4741"/>
    <w:rsid w:val="55422CE7"/>
    <w:rsid w:val="57A71AC0"/>
    <w:rsid w:val="58414582"/>
    <w:rsid w:val="589B132E"/>
    <w:rsid w:val="593A4AEF"/>
    <w:rsid w:val="59AC45C2"/>
    <w:rsid w:val="5A2801A8"/>
    <w:rsid w:val="5C525C02"/>
    <w:rsid w:val="5D286204"/>
    <w:rsid w:val="5E3044E8"/>
    <w:rsid w:val="60407118"/>
    <w:rsid w:val="60681418"/>
    <w:rsid w:val="60B7577B"/>
    <w:rsid w:val="62407E05"/>
    <w:rsid w:val="6264450F"/>
    <w:rsid w:val="63825BCA"/>
    <w:rsid w:val="65452BF8"/>
    <w:rsid w:val="65B60835"/>
    <w:rsid w:val="663F1FE1"/>
    <w:rsid w:val="66412906"/>
    <w:rsid w:val="66A32111"/>
    <w:rsid w:val="686508AD"/>
    <w:rsid w:val="6CF01F1B"/>
    <w:rsid w:val="6D3A0843"/>
    <w:rsid w:val="6E1255EE"/>
    <w:rsid w:val="6E5B5C72"/>
    <w:rsid w:val="6FFF7D23"/>
    <w:rsid w:val="708A46DE"/>
    <w:rsid w:val="70CF13E6"/>
    <w:rsid w:val="70EE5E0D"/>
    <w:rsid w:val="75FF6490"/>
    <w:rsid w:val="76B27A75"/>
    <w:rsid w:val="76F916BD"/>
    <w:rsid w:val="77BF4C2F"/>
    <w:rsid w:val="77DB017B"/>
    <w:rsid w:val="780338F3"/>
    <w:rsid w:val="7E561850"/>
    <w:rsid w:val="7E603DFA"/>
    <w:rsid w:val="7E6459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locked/>
    <w:uiPriority w:val="0"/>
    <w:pPr>
      <w:keepNext/>
      <w:keepLines/>
      <w:spacing w:before="340" w:beforeLines="0" w:beforeAutospacing="0" w:after="330" w:afterLines="0" w:afterAutospacing="0" w:line="360" w:lineRule="auto"/>
      <w:outlineLvl w:val="0"/>
    </w:pPr>
    <w:rPr>
      <w:rFonts w:ascii="Times New Roman" w:hAnsi="Times New Roman" w:eastAsia="黑体"/>
      <w:kern w:val="44"/>
      <w:sz w:val="28"/>
    </w:rPr>
  </w:style>
  <w:style w:type="paragraph" w:styleId="4">
    <w:name w:val="heading 2"/>
    <w:basedOn w:val="1"/>
    <w:next w:val="1"/>
    <w:link w:val="31"/>
    <w:semiHidden/>
    <w:unhideWhenUsed/>
    <w:qFormat/>
    <w:locked/>
    <w:uiPriority w:val="0"/>
    <w:pPr>
      <w:keepNext/>
      <w:keepLines/>
      <w:spacing w:before="260" w:beforeLines="0" w:beforeAutospacing="0" w:after="260" w:afterLines="0" w:afterAutospacing="0" w:line="360" w:lineRule="auto"/>
      <w:outlineLvl w:val="1"/>
    </w:pPr>
    <w:rPr>
      <w:rFonts w:ascii="仿宋" w:hAnsi="仿宋" w:eastAsia="仿宋"/>
      <w:sz w:val="28"/>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semiHidden/>
    <w:unhideWhenUsed/>
    <w:qFormat/>
    <w:uiPriority w:val="99"/>
    <w:pPr>
      <w:jc w:val="left"/>
    </w:pPr>
  </w:style>
  <w:style w:type="paragraph" w:styleId="7">
    <w:name w:val="toc 3"/>
    <w:basedOn w:val="1"/>
    <w:next w:val="1"/>
    <w:unhideWhenUsed/>
    <w:qFormat/>
    <w:locked/>
    <w:uiPriority w:val="39"/>
    <w:pPr>
      <w:ind w:left="840" w:leftChars="400"/>
    </w:pPr>
  </w:style>
  <w:style w:type="paragraph" w:styleId="8">
    <w:name w:val="Plain Text"/>
    <w:basedOn w:val="1"/>
    <w:qFormat/>
    <w:uiPriority w:val="0"/>
    <w:rPr>
      <w:rFonts w:ascii="宋体" w:hAnsi="Courier New" w:cs="金山简魏碑"/>
      <w:szCs w:val="21"/>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qFormat/>
    <w:locked/>
    <w:uiPriority w:val="0"/>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6"/>
    <w:link w:val="9"/>
    <w:semiHidden/>
    <w:qFormat/>
    <w:locked/>
    <w:uiPriority w:val="99"/>
    <w:rPr>
      <w:rFonts w:ascii="Times New Roman" w:hAnsi="Times New Roman"/>
      <w:kern w:val="2"/>
      <w:sz w:val="18"/>
    </w:rPr>
  </w:style>
  <w:style w:type="character" w:customStyle="1" w:styleId="21">
    <w:name w:val="页脚 字符"/>
    <w:basedOn w:val="16"/>
    <w:link w:val="10"/>
    <w:qFormat/>
    <w:locked/>
    <w:uiPriority w:val="99"/>
    <w:rPr>
      <w:sz w:val="18"/>
    </w:rPr>
  </w:style>
  <w:style w:type="character" w:customStyle="1" w:styleId="22">
    <w:name w:val="页眉 字符"/>
    <w:basedOn w:val="16"/>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styleId="28">
    <w:name w:val="List Paragraph"/>
    <w:basedOn w:val="1"/>
    <w:qFormat/>
    <w:uiPriority w:val="99"/>
    <w:pPr>
      <w:ind w:firstLine="420" w:firstLineChars="200"/>
    </w:pPr>
  </w:style>
  <w:style w:type="paragraph" w:customStyle="1" w:styleId="29">
    <w:name w:val="zjb正文"/>
    <w:basedOn w:val="1"/>
    <w:link w:val="36"/>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character" w:customStyle="1" w:styleId="30">
    <w:name w:val="标题 1 Char"/>
    <w:link w:val="3"/>
    <w:qFormat/>
    <w:uiPriority w:val="0"/>
    <w:rPr>
      <w:rFonts w:ascii="Times New Roman" w:hAnsi="Times New Roman" w:eastAsia="黑体"/>
      <w:kern w:val="44"/>
      <w:sz w:val="28"/>
    </w:rPr>
  </w:style>
  <w:style w:type="character" w:customStyle="1" w:styleId="31">
    <w:name w:val="标题 2 Char"/>
    <w:link w:val="4"/>
    <w:qFormat/>
    <w:uiPriority w:val="0"/>
    <w:rPr>
      <w:rFonts w:ascii="仿宋" w:hAnsi="仿宋" w:eastAsia="仿宋"/>
      <w:sz w:val="28"/>
    </w:rPr>
  </w:style>
  <w:style w:type="paragraph" w:customStyle="1" w:styleId="32">
    <w:name w:val="zjb標題1"/>
    <w:basedOn w:val="1"/>
    <w:qFormat/>
    <w:uiPriority w:val="0"/>
    <w:pPr>
      <w:ind w:firstLine="1441" w:firstLineChars="200"/>
    </w:pPr>
    <w:rPr>
      <w:rFonts w:ascii="Times New Roman" w:hAnsi="Times New Roman" w:eastAsia="STZhongsong" w:cs="Times New Roman"/>
      <w:b/>
      <w:color w:val="000000"/>
      <w:sz w:val="72"/>
      <w:szCs w:val="72"/>
    </w:r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34">
    <w:name w:val="Body text (2)_"/>
    <w:link w:val="35"/>
    <w:qFormat/>
    <w:uiPriority w:val="99"/>
    <w:rPr>
      <w:rFonts w:ascii="MingLiU" w:hAnsi="Calibri" w:eastAsia="MingLiU" w:cs="MingLiU"/>
      <w:sz w:val="30"/>
      <w:szCs w:val="30"/>
    </w:rPr>
  </w:style>
  <w:style w:type="paragraph" w:customStyle="1" w:styleId="35">
    <w:name w:val="Body text (2)1"/>
    <w:basedOn w:val="1"/>
    <w:link w:val="3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6">
    <w:name w:val="zjb正文 字符"/>
    <w:basedOn w:val="16"/>
    <w:link w:val="29"/>
    <w:qFormat/>
    <w:uiPriority w:val="0"/>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1424</Words>
  <Characters>8122</Characters>
  <Lines>67</Lines>
  <Paragraphs>19</Paragraphs>
  <TotalTime>5</TotalTime>
  <ScaleCrop>false</ScaleCrop>
  <LinksUpToDate>false</LinksUpToDate>
  <CharactersWithSpaces>9527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2019-02-18T09:12:00Z</dcterms:created>
  <dc:creator>李凯01</dc:creator>
  <cp:lastModifiedBy>重庆能源文书</cp:lastModifiedBy>
  <cp:lastPrinted>2019-05-21T01:04:00Z</cp:lastPrinted>
  <dcterms:modified xsi:type="dcterms:W3CDTF">2021-04-16T07:18:41Z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9A0EF8870C03488798B697ED1B077651</vt:lpwstr>
  </property>
</Properties>
</file>