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bookmarkStart w:id="40" w:name="_GoBack"/>
      <w:bookmarkEnd w:id="40"/>
    </w:p>
    <w:p>
      <w:pPr>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重庆江北国际机场有限公司</w:t>
      </w:r>
    </w:p>
    <w:p>
      <w:pPr>
        <w:jc w:val="center"/>
        <w:rPr>
          <w:rFonts w:ascii="仿宋" w:hAnsi="仿宋" w:eastAsia="仿宋"/>
          <w:b/>
          <w:sz w:val="52"/>
          <w:szCs w:val="52"/>
        </w:rPr>
      </w:pPr>
    </w:p>
    <w:p>
      <w:pPr>
        <w:jc w:val="center"/>
        <w:rPr>
          <w:rFonts w:hint="eastAsia" w:eastAsia="方正仿宋_GBK"/>
          <w:b/>
          <w:sz w:val="44"/>
          <w:szCs w:val="44"/>
        </w:rPr>
      </w:pPr>
      <w:r>
        <w:rPr>
          <w:rFonts w:hint="eastAsia" w:eastAsia="方正仿宋_GBK"/>
          <w:b/>
          <w:sz w:val="44"/>
          <w:szCs w:val="44"/>
        </w:rPr>
        <w:t>重庆江北国际机场航站楼</w:t>
      </w:r>
    </w:p>
    <w:p>
      <w:pPr>
        <w:jc w:val="center"/>
        <w:rPr>
          <w:rFonts w:hint="eastAsia" w:eastAsia="方正仿宋_GBK"/>
          <w:b/>
          <w:sz w:val="44"/>
          <w:szCs w:val="44"/>
          <w:lang w:eastAsia="zh-CN"/>
        </w:rPr>
      </w:pPr>
      <w:r>
        <w:rPr>
          <w:rFonts w:hint="eastAsia" w:eastAsia="方正仿宋_GBK"/>
          <w:b/>
          <w:sz w:val="44"/>
          <w:szCs w:val="44"/>
        </w:rPr>
        <w:t>消防备品备件框架</w:t>
      </w:r>
      <w:r>
        <w:rPr>
          <w:rFonts w:hint="eastAsia" w:eastAsia="方正仿宋_GBK"/>
          <w:b/>
          <w:sz w:val="44"/>
          <w:szCs w:val="44"/>
          <w:lang w:eastAsia="zh-CN"/>
        </w:rPr>
        <w:t>协议</w:t>
      </w:r>
      <w:r>
        <w:rPr>
          <w:rFonts w:hint="eastAsia" w:eastAsia="方正仿宋_GBK"/>
          <w:b/>
          <w:sz w:val="44"/>
          <w:szCs w:val="44"/>
        </w:rPr>
        <w:t>供应商采购项目</w:t>
      </w:r>
      <w:r>
        <w:rPr>
          <w:rFonts w:hint="eastAsia" w:eastAsia="方正仿宋_GBK"/>
          <w:b/>
          <w:sz w:val="44"/>
          <w:szCs w:val="44"/>
          <w:lang w:eastAsia="zh-CN"/>
        </w:rPr>
        <w:t>（第三次）</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BX-2020-013</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hint="eastAsia" w:ascii="方正小标宋简体" w:eastAsia="方正小标宋简体"/>
          <w:sz w:val="32"/>
          <w:szCs w:val="32"/>
          <w:lang w:eastAsia="zh-CN"/>
        </w:rPr>
      </w:pPr>
      <w:r>
        <w:rPr>
          <w:rFonts w:hint="eastAsia" w:ascii="方正小标宋简体" w:eastAsia="方正小标宋简体"/>
          <w:sz w:val="32"/>
          <w:szCs w:val="32"/>
          <w:lang w:eastAsia="zh-CN"/>
        </w:rPr>
        <w:t>重庆江北国际机场有限公司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航站楼管理部</w:t>
      </w:r>
      <w:r>
        <w:rPr>
          <w:rFonts w:hint="eastAsia" w:ascii="方正小标宋简体" w:eastAsia="方正小标宋简体"/>
          <w:sz w:val="32"/>
          <w:szCs w:val="32"/>
        </w:rPr>
        <w:t>（代章）</w:t>
      </w:r>
    </w:p>
    <w:p>
      <w:pPr>
        <w:rPr>
          <w:rFonts w:ascii="仿宋" w:hAnsi="仿宋" w:eastAsia="仿宋"/>
          <w:b/>
          <w:sz w:val="32"/>
          <w:szCs w:val="32"/>
        </w:rPr>
      </w:pPr>
    </w:p>
    <w:p>
      <w:pPr>
        <w:ind w:firstLine="3360" w:firstLineChars="1050"/>
        <w:rPr>
          <w:rFonts w:ascii="方正小标宋简体" w:eastAsia="方正小标宋简体"/>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一</w:t>
      </w:r>
      <w:r>
        <w:rPr>
          <w:rFonts w:hint="eastAsia" w:ascii="方正小标宋简体" w:eastAsia="方正小标宋简体"/>
          <w:sz w:val="32"/>
          <w:szCs w:val="32"/>
        </w:rPr>
        <w:t>年</w:t>
      </w:r>
      <w:r>
        <w:rPr>
          <w:rFonts w:hint="eastAsia" w:ascii="方正小标宋简体" w:eastAsia="方正小标宋简体"/>
          <w:sz w:val="32"/>
          <w:szCs w:val="32"/>
          <w:lang w:eastAsia="zh-CN"/>
        </w:rPr>
        <w:t>四</w:t>
      </w:r>
      <w:r>
        <w:rPr>
          <w:rFonts w:hint="eastAsia" w:ascii="方正小标宋简体" w:eastAsia="方正小标宋简体"/>
          <w:sz w:val="32"/>
          <w:szCs w:val="32"/>
        </w:rPr>
        <w:t>月</w:t>
      </w:r>
    </w:p>
    <w:p>
      <w:pPr>
        <w:rPr>
          <w:rFonts w:ascii="方正小标宋简体" w:eastAsia="方正小标宋简体"/>
          <w:sz w:val="32"/>
          <w:szCs w:val="32"/>
        </w:rPr>
      </w:pPr>
      <w:r>
        <w:rPr>
          <w:rFonts w:hint="eastAsia" w:ascii="方正小标宋简体" w:eastAsia="方正小标宋简体"/>
          <w:sz w:val="32"/>
          <w:szCs w:val="32"/>
        </w:rPr>
        <w:br w:type="page"/>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重庆江北国际机场航站楼</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消防备品备件框架</w:t>
      </w:r>
      <w:r>
        <w:rPr>
          <w:rFonts w:hint="eastAsia" w:ascii="方正小标宋_GBK" w:hAnsi="方正小标宋_GBK" w:eastAsia="方正小标宋_GBK" w:cs="方正小标宋_GBK"/>
          <w:sz w:val="44"/>
          <w:szCs w:val="44"/>
          <w:lang w:eastAsia="zh-CN"/>
        </w:rPr>
        <w:t>协议</w:t>
      </w:r>
      <w:r>
        <w:rPr>
          <w:rFonts w:hint="eastAsia" w:ascii="方正小标宋_GBK" w:hAnsi="方正小标宋_GBK" w:eastAsia="方正小标宋_GBK" w:cs="方正小标宋_GBK"/>
          <w:sz w:val="44"/>
          <w:szCs w:val="44"/>
        </w:rPr>
        <w:t>供应商采购项目比选文件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我司决定于近期将对重庆江北国际机场航站楼消防备品备件框架</w:t>
      </w:r>
      <w:r>
        <w:rPr>
          <w:rFonts w:hint="eastAsia" w:ascii="方正仿宋_GBK" w:hAnsi="方正仿宋_GBK" w:eastAsia="方正仿宋_GBK" w:cs="方正仿宋_GBK"/>
          <w:sz w:val="28"/>
          <w:szCs w:val="28"/>
          <w:lang w:eastAsia="zh-CN"/>
        </w:rPr>
        <w:t>协议</w:t>
      </w:r>
      <w:r>
        <w:rPr>
          <w:rFonts w:hint="eastAsia" w:ascii="方正仿宋_GBK" w:hAnsi="方正仿宋_GBK" w:eastAsia="方正仿宋_GBK" w:cs="方正仿宋_GBK"/>
          <w:sz w:val="28"/>
          <w:szCs w:val="28"/>
        </w:rPr>
        <w:t>供应商采购项目邀请符合相应条件的供应商就本项目进行比选。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w:t>
      </w:r>
      <w:r>
        <w:rPr>
          <w:rFonts w:hint="eastAsia" w:ascii="方正仿宋_GBK" w:hAnsi="方正仿宋_GBK" w:eastAsia="方正仿宋_GBK" w:cs="方正仿宋_GBK"/>
          <w:sz w:val="28"/>
          <w:szCs w:val="28"/>
          <w:lang w:eastAsia="zh-CN"/>
        </w:rPr>
        <w:t>营业范围包括：销售消防器材或消防设备</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具有有效营业执照（注明须提供营业执照复印件加盖鲜章）。</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1.1.2</w:t>
      </w:r>
      <w:r>
        <w:rPr>
          <w:rFonts w:hint="eastAsia" w:ascii="方正仿宋_GBK" w:hAnsi="方正仿宋_GBK" w:eastAsia="方正仿宋_GBK" w:cs="方正仿宋_GBK"/>
          <w:sz w:val="28"/>
          <w:szCs w:val="28"/>
          <w:lang w:val="en-US" w:eastAsia="zh-CN"/>
        </w:rPr>
        <w:t xml:space="preserve"> 具有一般纳税人资格，能开具增值税专用发票。</w:t>
      </w:r>
    </w:p>
    <w:p>
      <w:pPr>
        <w:widowControl/>
        <w:spacing w:line="600" w:lineRule="exact"/>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1.1.3 本项目不接受联合体投标，不得转包、分包。</w:t>
      </w: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spacing w:before="163"/>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项目要求</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1.2.1.1采购范围：重庆江北国际机场</w:t>
      </w:r>
      <w:bookmarkStart w:id="0" w:name="_Hlk519778391"/>
      <w:r>
        <w:rPr>
          <w:rFonts w:hint="eastAsia" w:ascii="方正仿宋_GBK" w:hAnsi="方正仿宋_GBK" w:eastAsia="方正仿宋_GBK" w:cs="方正仿宋_GBK"/>
          <w:sz w:val="28"/>
          <w:szCs w:val="28"/>
          <w:lang w:val="en-US" w:eastAsia="zh-CN"/>
        </w:rPr>
        <w:t>航站楼消防备品备件的采购、运输、质保及相关服务等全过程工作。</w:t>
      </w:r>
      <w:bookmarkEnd w:id="0"/>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1.2.1.2采购数量：按需采购。</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1.2.1.3质量要求：比选响应人应保证所提供的产品为采购人所规定之原厂产品，质量符合国家和行业标准,并提供型式检验报告、出厂检验报告或合格证明文件，纳入产品强制认证的的备品备件需提供强制性产品认证文件，进口产品需提供报关单等文件。</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1.2.2 本项目的报价应包括：</w:t>
      </w:r>
      <w:r>
        <w:rPr>
          <w:rFonts w:hint="eastAsia" w:ascii="方正仿宋_GBK" w:hAnsi="方正仿宋_GBK" w:eastAsia="方正仿宋_GBK" w:cs="方正仿宋_GBK"/>
          <w:sz w:val="28"/>
          <w:szCs w:val="28"/>
          <w:lang w:val="en-US" w:eastAsia="zh-CN"/>
        </w:rPr>
        <w:t>采购、运输、调试、质保及涉及到的其他所有费用，本项目为包干价，不再另行增加费用。</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1.2.3</w:t>
      </w:r>
      <w:r>
        <w:rPr>
          <w:rFonts w:hint="eastAsia" w:ascii="方正仿宋_GBK" w:hAnsi="方正仿宋_GBK" w:eastAsia="方正仿宋_GBK" w:cs="方正仿宋_GBK"/>
          <w:sz w:val="28"/>
          <w:szCs w:val="28"/>
          <w:lang w:val="en-US" w:eastAsia="zh-CN"/>
        </w:rPr>
        <w:t xml:space="preserve"> 采购人将对附件4《项目采购明细表》中每一项进行限价（不含增值税）</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单项</w:t>
      </w:r>
      <w:r>
        <w:rPr>
          <w:rFonts w:hint="eastAsia" w:ascii="方正仿宋_GBK" w:hAnsi="方正仿宋_GBK" w:eastAsia="方正仿宋_GBK" w:cs="方正仿宋_GBK"/>
          <w:sz w:val="28"/>
          <w:szCs w:val="28"/>
        </w:rPr>
        <w:t>报价超过最高限价，将取消比选响应方的比选资格</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000000" w:themeColor="text1"/>
          <w:sz w:val="28"/>
          <w:szCs w:val="28"/>
          <w14:textFill>
            <w14:solidFill>
              <w14:schemeClr w14:val="tx1"/>
            </w14:solidFill>
          </w14:textFill>
        </w:rPr>
        <w:t>注：各子项数量均按1计算</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具有与本比选文件要求相适应的供应能力、售后服务能力和</w:t>
      </w:r>
      <w:r>
        <w:rPr>
          <w:rFonts w:hint="eastAsia" w:ascii="方正仿宋_GBK" w:hAnsi="方正仿宋_GBK" w:eastAsia="方正仿宋_GBK" w:cs="方正仿宋_GBK"/>
          <w:sz w:val="28"/>
          <w:szCs w:val="28"/>
          <w:lang w:eastAsia="zh-CN"/>
        </w:rPr>
        <w:t>调试</w:t>
      </w:r>
      <w:r>
        <w:rPr>
          <w:rFonts w:hint="eastAsia" w:ascii="方正仿宋_GBK" w:hAnsi="方正仿宋_GBK" w:eastAsia="方正仿宋_GBK" w:cs="方正仿宋_GBK"/>
          <w:sz w:val="28"/>
          <w:szCs w:val="28"/>
        </w:rPr>
        <w:t>能力的生产厂家或经营商。比选响应单位必须具备：</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营业执照经营范围包含销售消防设备或消防器材和一般纳税人证明；</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widowControl/>
        <w:spacing w:line="360" w:lineRule="auto"/>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本次比选按最低价成交比选响应人确定办法：采用附件表单中常用</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备品备件</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报价占比60%，</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不</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常用</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备品备件</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报价占比40%，所有项目总和报价（常用</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备品备件</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*60%+</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不</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常用</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备品备件</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*40%），按该总和金额从低到高确定三家</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；再从已确定的三家</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项目清单中,分别筛选每个项目最低报价,然后与每项最低报价</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签订相应供货合同</w:t>
      </w:r>
      <w:r>
        <w:rPr>
          <w:rFonts w:hint="eastAsia" w:ascii="方正仿宋_GBK" w:hAnsi="方正仿宋_GBK" w:eastAsia="方正仿宋_GBK" w:cs="方正仿宋_GBK"/>
          <w:kern w:val="0"/>
          <w:sz w:val="28"/>
          <w:szCs w:val="28"/>
        </w:rPr>
        <w:t>。若出现多个比选响应人</w:t>
      </w:r>
      <w:r>
        <w:rPr>
          <w:rFonts w:hint="eastAsia" w:ascii="方正仿宋_GBK" w:hAnsi="方正仿宋_GBK" w:eastAsia="方正仿宋_GBK" w:cs="方正仿宋_GBK"/>
          <w:kern w:val="0"/>
          <w:sz w:val="28"/>
          <w:szCs w:val="28"/>
          <w:lang w:eastAsia="zh-CN"/>
        </w:rPr>
        <w:t>总</w:t>
      </w: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lang w:eastAsia="zh-CN"/>
        </w:rPr>
        <w:t>、单项报价</w:t>
      </w:r>
      <w:r>
        <w:rPr>
          <w:rFonts w:hint="eastAsia" w:ascii="方正仿宋_GBK" w:hAnsi="方正仿宋_GBK" w:eastAsia="方正仿宋_GBK" w:cs="方正仿宋_GBK"/>
          <w:kern w:val="0"/>
          <w:sz w:val="28"/>
          <w:szCs w:val="28"/>
        </w:rPr>
        <w:t>相同，则根据比选响应人资质、诚信信誉等情况综合评定，优先选择具备维保检测资质的比选响应人作为成交候选人。</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r>
        <w:rPr>
          <w:rFonts w:hint="eastAsia" w:ascii="方正仿宋_GBK" w:hAnsi="方正仿宋_GBK" w:eastAsia="方正仿宋_GBK" w:cs="方正仿宋_GBK"/>
          <w:bCs/>
          <w:sz w:val="28"/>
          <w:szCs w:val="28"/>
          <w:lang w:val="en-US" w:eastAsia="zh-CN"/>
        </w:rPr>
        <w:t>.</w:t>
      </w:r>
    </w:p>
    <w:p>
      <w:pPr>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4</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9</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重庆江北国际机场有限公司航站楼管理部</w:t>
      </w:r>
      <w:r>
        <w:rPr>
          <w:rFonts w:hint="eastAsia" w:ascii="方正仿宋_GBK" w:hAnsi="方正仿宋_GBK" w:eastAsia="方正仿宋_GBK" w:cs="方正仿宋_GBK"/>
          <w:sz w:val="28"/>
          <w:szCs w:val="28"/>
        </w:rPr>
        <w:t>在重庆机场集团官方网站发布。</w:t>
      </w:r>
    </w:p>
    <w:p>
      <w:pPr>
        <w:pStyle w:val="2"/>
        <w:ind w:firstLine="560" w:firstLineChars="200"/>
        <w:jc w:val="both"/>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b/>
          <w:kern w:val="0"/>
          <w:sz w:val="28"/>
          <w:szCs w:val="28"/>
          <w:lang w:val="en-US" w:eastAsia="zh-CN" w:bidi="ar-SA"/>
        </w:rPr>
        <w:t>提出问题的截止时间及比选采购人澄清时间</w:t>
      </w:r>
    </w:p>
    <w:p>
      <w:pPr>
        <w:rPr>
          <w:rFonts w:hint="eastAsia"/>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5.1 </w:t>
      </w:r>
      <w:r>
        <w:rPr>
          <w:rFonts w:hint="eastAsia" w:ascii="方正仿宋_GBK" w:hAnsi="方正仿宋_GBK" w:eastAsia="方正仿宋_GBK" w:cs="方正仿宋_GBK"/>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4</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12</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kern w:val="0"/>
          <w:sz w:val="28"/>
          <w:szCs w:val="28"/>
        </w:rPr>
        <w:t>17：</w:t>
      </w:r>
      <w:r>
        <w:rPr>
          <w:rFonts w:hint="eastAsia" w:ascii="方正仿宋_GBK" w:hAnsi="方正仿宋_GBK" w:eastAsia="方正仿宋_GBK" w:cs="方正仿宋_GBK"/>
          <w:kern w:val="0"/>
          <w:sz w:val="28"/>
          <w:szCs w:val="28"/>
          <w:lang w:val="en-US" w:eastAsia="zh-CN"/>
        </w:rPr>
        <w:fldChar w:fldCharType="begin"/>
      </w:r>
      <w:r>
        <w:rPr>
          <w:rFonts w:hint="eastAsia" w:ascii="方正仿宋_GBK" w:hAnsi="方正仿宋_GBK" w:eastAsia="方正仿宋_GBK" w:cs="方正仿宋_GBK"/>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lang w:val="en-US" w:eastAsia="zh-CN"/>
        </w:rPr>
        <w:fldChar w:fldCharType="separate"/>
      </w:r>
      <w:r>
        <w:rPr>
          <w:rFonts w:hint="eastAsia" w:ascii="方正仿宋_GBK" w:hAnsi="方正仿宋_GBK" w:eastAsia="方正仿宋_GBK" w:cs="方正仿宋_GBK"/>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lang w:eastAsia="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single"/>
          <w:lang w:val="en-US" w:eastAsia="zh-CN"/>
        </w:rPr>
        <w:t>2021年4月13日</w:t>
      </w:r>
      <w:r>
        <w:rPr>
          <w:rFonts w:hint="eastAsia" w:ascii="方正仿宋_GBK" w:hAnsi="方正仿宋_GBK" w:eastAsia="方正仿宋_GBK" w:cs="方正仿宋_GBK"/>
          <w:kern w:val="0"/>
          <w:sz w:val="28"/>
          <w:szCs w:val="28"/>
          <w:lang w:val="en-US" w:eastAsia="zh-CN"/>
        </w:rPr>
        <w:t xml:space="preserve">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5000(大写：人民币伍仟元整）</w:t>
      </w:r>
      <w:r>
        <w:rPr>
          <w:rFonts w:hint="eastAsia" w:ascii="方正仿宋_GBK" w:hAnsi="方正仿宋_GBK" w:eastAsia="方正仿宋_GBK" w:cs="方正仿宋_GBK"/>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w:t>
      </w:r>
      <w:r>
        <w:rPr>
          <w:rFonts w:hint="eastAsia" w:ascii="方正仿宋_GBK" w:hAnsi="方正仿宋_GBK" w:eastAsia="方正仿宋_GBK" w:cs="方正仿宋_GBK"/>
          <w:kern w:val="0"/>
          <w:sz w:val="28"/>
          <w:szCs w:val="28"/>
        </w:rPr>
        <w:t>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sz w:val="28"/>
        </w:rPr>
        <w:t>成交的</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rPr>
        <w:t>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w:t>
      </w:r>
      <w:r>
        <w:rPr>
          <w:rFonts w:hint="eastAsia" w:ascii="方正仿宋_GBK" w:hAnsi="方正仿宋_GBK" w:eastAsia="方正仿宋_GBK" w:cs="方正仿宋_GBK"/>
          <w:kern w:val="0"/>
          <w:sz w:val="28"/>
          <w:szCs w:val="28"/>
        </w:rPr>
        <w:t>约保证金为</w:t>
      </w:r>
      <w:r>
        <w:rPr>
          <w:rFonts w:hint="eastAsia" w:ascii="方正仿宋_GBK" w:hAnsi="方正仿宋_GBK" w:eastAsia="方正仿宋_GBK" w:cs="方正仿宋_GBK"/>
          <w:kern w:val="0"/>
          <w:sz w:val="28"/>
          <w:szCs w:val="28"/>
          <w:lang w:val="en-US" w:eastAsia="zh-CN"/>
        </w:rPr>
        <w:t>¥5000元（大写:人民币伍仟元整）</w:t>
      </w:r>
      <w:r>
        <w:rPr>
          <w:rFonts w:hint="eastAsia" w:ascii="方正仿宋_GBK" w:hAnsi="方正仿宋_GBK" w:eastAsia="方正仿宋_GBK" w:cs="方正仿宋_GBK"/>
          <w:kern w:val="0"/>
          <w:sz w:val="28"/>
          <w:szCs w:val="28"/>
        </w:rPr>
        <w:t>，比选响应方在收到成交通知书10日历日内缴纳，</w:t>
      </w:r>
      <w:r>
        <w:rPr>
          <w:rFonts w:hint="eastAsia" w:ascii="方正仿宋_GBK" w:hAnsi="方正仿宋_GBK" w:eastAsia="方正仿宋_GBK" w:cs="方正仿宋_GBK"/>
          <w:kern w:val="0"/>
          <w:sz w:val="28"/>
          <w:szCs w:val="28"/>
          <w:lang w:eastAsia="zh-CN"/>
        </w:rPr>
        <w:t>在</w:t>
      </w:r>
      <w:r>
        <w:rPr>
          <w:rFonts w:hint="eastAsia" w:ascii="方正仿宋_GBK" w:hAnsi="方正仿宋_GBK" w:eastAsia="方正仿宋_GBK" w:cs="方正仿宋_GBK"/>
          <w:kern w:val="0"/>
          <w:sz w:val="28"/>
          <w:szCs w:val="28"/>
        </w:rPr>
        <w:t>全部款项结清</w:t>
      </w:r>
      <w:r>
        <w:rPr>
          <w:rFonts w:hint="eastAsia" w:ascii="方正仿宋_GBK" w:hAnsi="方正仿宋_GBK" w:eastAsia="方正仿宋_GBK" w:cs="方正仿宋_GBK"/>
          <w:kern w:val="0"/>
          <w:sz w:val="28"/>
          <w:szCs w:val="28"/>
          <w:lang w:eastAsia="zh-CN"/>
        </w:rPr>
        <w:t>且质保期满</w:t>
      </w:r>
      <w:r>
        <w:rPr>
          <w:rFonts w:hint="eastAsia" w:ascii="方正仿宋_GBK" w:hAnsi="方正仿宋_GBK" w:eastAsia="方正仿宋_GBK" w:cs="方正仿宋_GBK"/>
          <w:kern w:val="0"/>
          <w:sz w:val="28"/>
          <w:szCs w:val="28"/>
        </w:rPr>
        <w:t>后</w:t>
      </w:r>
      <w:r>
        <w:rPr>
          <w:rFonts w:hint="eastAsia" w:ascii="方正仿宋_GBK" w:hAnsi="方正仿宋_GBK" w:eastAsia="方正仿宋_GBK" w:cs="方正仿宋_GBK"/>
          <w:kern w:val="0"/>
          <w:sz w:val="28"/>
          <w:szCs w:val="28"/>
          <w:lang w:val="en-US" w:eastAsia="zh-CN"/>
        </w:rPr>
        <w:t>30</w:t>
      </w:r>
      <w:r>
        <w:rPr>
          <w:rFonts w:hint="eastAsia" w:ascii="方正仿宋_GBK" w:hAnsi="方正仿宋_GBK" w:eastAsia="方正仿宋_GBK" w:cs="方正仿宋_GBK"/>
          <w:kern w:val="0"/>
          <w:sz w:val="28"/>
          <w:szCs w:val="28"/>
        </w:rPr>
        <w:t>个</w:t>
      </w:r>
      <w:r>
        <w:rPr>
          <w:rFonts w:hint="eastAsia" w:ascii="方正仿宋_GBK" w:hAnsi="方正仿宋_GBK" w:eastAsia="方正仿宋_GBK" w:cs="方正仿宋_GBK"/>
          <w:kern w:val="0"/>
          <w:sz w:val="28"/>
          <w:szCs w:val="28"/>
          <w:lang w:eastAsia="zh-CN"/>
        </w:rPr>
        <w:t>工作日</w:t>
      </w:r>
      <w:r>
        <w:rPr>
          <w:rFonts w:hint="eastAsia" w:ascii="方正仿宋_GBK" w:hAnsi="方正仿宋_GBK" w:eastAsia="方正仿宋_GBK" w:cs="方正仿宋_GBK"/>
          <w:kern w:val="0"/>
          <w:sz w:val="28"/>
          <w:szCs w:val="28"/>
        </w:rPr>
        <w:t>内无息退还。</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所供的所有产品经采购人验收合格后，采购人按季度支付采购费用。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若乙方开具增值税专用发票，则甲方支付不含增值税合同金额和税额的总金额；若乙方开具增值税普通发票，则甲方仅支付不含增值税合同金额。</w:t>
      </w:r>
    </w:p>
    <w:p>
      <w:pPr>
        <w:spacing w:line="360" w:lineRule="auto"/>
        <w:ind w:firstLine="549" w:firstLineChars="196"/>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eastAsia="zh-CN"/>
        </w:rPr>
        <w:t>期限</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自签订合同之日起</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rPr>
        <w:t>。</w:t>
      </w:r>
    </w:p>
    <w:p>
      <w:pPr>
        <w:numPr>
          <w:ilvl w:val="0"/>
          <w:numId w:val="0"/>
        </w:numPr>
        <w:spacing w:line="360" w:lineRule="auto"/>
        <w:ind w:firstLine="560" w:firstLineChars="200"/>
        <w:rPr>
          <w:rFonts w:hint="eastAsia" w:ascii="方正仿宋_GBK" w:hAnsi="方正仿宋_GBK" w:eastAsia="方正仿宋_GBK" w:cs="方正仿宋_GBK"/>
          <w:b/>
          <w:color w:val="FF0000"/>
          <w:sz w:val="28"/>
          <w:szCs w:val="28"/>
          <w:lang w:eastAsia="zh-CN"/>
        </w:rPr>
      </w:pPr>
      <w:r>
        <w:rPr>
          <w:rFonts w:hint="eastAsia" w:ascii="方正仿宋_GBK" w:hAnsi="方正仿宋_GBK" w:eastAsia="方正仿宋_GBK" w:cs="方正仿宋_GBK"/>
          <w:b/>
          <w:sz w:val="28"/>
          <w:szCs w:val="28"/>
          <w:lang w:eastAsia="zh-CN"/>
        </w:rPr>
        <w:t>九、</w:t>
      </w:r>
      <w:r>
        <w:rPr>
          <w:rFonts w:hint="eastAsia" w:ascii="方正仿宋_GBK" w:hAnsi="方正仿宋_GBK" w:eastAsia="方正仿宋_GBK" w:cs="方正仿宋_GBK"/>
          <w:b/>
          <w:sz w:val="28"/>
          <w:szCs w:val="28"/>
        </w:rPr>
        <w:t>质保期</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通过采购人的验收起，质量保修期为1年。</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90天（自比选响应人提交比选响应文件截止之日起计算）。</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sz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lang w:eastAsia="zh-CN"/>
        </w:rPr>
        <w:t>分项</w:t>
      </w:r>
      <w:r>
        <w:rPr>
          <w:rFonts w:hint="eastAsia" w:ascii="方正仿宋_GBK" w:hAnsi="方正仿宋_GBK" w:eastAsia="方正仿宋_GBK" w:cs="方正仿宋_GBK"/>
          <w:sz w:val="28"/>
          <w:lang w:val="zh-CN"/>
        </w:rPr>
        <w:t>报价部分。比选响应方应按照</w:t>
      </w:r>
      <w:r>
        <w:rPr>
          <w:rFonts w:hint="eastAsia" w:ascii="方正仿宋_GBK" w:hAnsi="方正仿宋_GBK" w:eastAsia="方正仿宋_GBK" w:cs="方正仿宋_GBK"/>
          <w:sz w:val="28"/>
        </w:rPr>
        <w:t>比选</w:t>
      </w:r>
      <w:r>
        <w:rPr>
          <w:rFonts w:hint="eastAsia" w:ascii="方正仿宋_GBK" w:hAnsi="方正仿宋_GBK" w:eastAsia="方正仿宋_GBK" w:cs="方正仿宋_GBK"/>
          <w:sz w:val="28"/>
          <w:lang w:val="zh-CN"/>
        </w:rPr>
        <w:t>采购文件要求（</w:t>
      </w:r>
      <w:r>
        <w:rPr>
          <w:rFonts w:hint="eastAsia" w:ascii="方正仿宋_GBK" w:hAnsi="方正仿宋_GBK" w:eastAsia="方正仿宋_GBK" w:cs="方正仿宋_GBK"/>
          <w:sz w:val="28"/>
        </w:rPr>
        <w:t>详见附件4：项目采购明细表</w:t>
      </w:r>
      <w:r>
        <w:rPr>
          <w:rFonts w:hint="eastAsia" w:ascii="方正仿宋_GBK" w:hAnsi="方正仿宋_GBK" w:eastAsia="方正仿宋_GBK" w:cs="方正仿宋_GBK"/>
          <w:sz w:val="28"/>
          <w:lang w:val="zh-CN"/>
        </w:rPr>
        <w:t>）报出拟提供货物的品牌、规格、产地、单价、总价等详细内容，各项报价应包括拟提供货物的采购、运输、调试、质保、相关税金和服务等全部费用，报价为不含税报价，增值税税率单列。</w:t>
      </w:r>
    </w:p>
    <w:p>
      <w:pPr>
        <w:keepNext w:val="0"/>
        <w:keepLines w:val="0"/>
        <w:pageBreakBefore w:val="0"/>
        <w:widowControl w:val="0"/>
        <w:kinsoku/>
        <w:wordWrap/>
        <w:overflowPunct/>
        <w:topLinePunct w:val="0"/>
        <w:autoSpaceDE/>
        <w:autoSpaceDN/>
        <w:bidi w:val="0"/>
        <w:adjustRightInd/>
        <w:snapToGrid/>
        <w:spacing w:before="163" w:line="360" w:lineRule="auto"/>
        <w:ind w:firstLine="482"/>
        <w:textAlignment w:val="auto"/>
        <w:outlineLvl w:val="9"/>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 xml:space="preserve">.2.4 </w:t>
      </w:r>
      <w:r>
        <w:rPr>
          <w:rFonts w:hint="eastAsia" w:ascii="方正仿宋_GBK" w:hAnsi="方正仿宋_GBK" w:eastAsia="方正仿宋_GBK" w:cs="方正仿宋_GBK"/>
          <w:sz w:val="28"/>
          <w:lang w:val="zh-CN" w:eastAsia="zh-CN"/>
        </w:rPr>
        <w:t>技术部分。主要包括拟提供消防备品备件的详细的交货清单、主要品牌（安舍、西门子、</w:t>
      </w:r>
      <w:r>
        <w:rPr>
          <w:rFonts w:hint="eastAsia" w:ascii="方正仿宋_GBK" w:hAnsi="方正仿宋_GBK" w:eastAsia="方正仿宋_GBK" w:cs="方正仿宋_GBK"/>
          <w:sz w:val="28"/>
          <w:lang w:val="en-US" w:eastAsia="zh-CN"/>
        </w:rPr>
        <w:t>北京利达英杰、上海宝星、盖泽等</w:t>
      </w:r>
      <w:r>
        <w:rPr>
          <w:rFonts w:hint="eastAsia" w:ascii="方正仿宋_GBK" w:hAnsi="方正仿宋_GBK" w:eastAsia="方正仿宋_GBK" w:cs="方正仿宋_GBK"/>
          <w:sz w:val="28"/>
          <w:lang w:val="zh-CN" w:eastAsia="zh-CN"/>
        </w:rPr>
        <w:t>）消防备品备件的技术资料（含型式检验报告、出厂检验报告或合格证明文件，纳入产品强制认证的的备品备件需提供强制性产品认证文件）及服务承诺。如果提供的材料和服务与比选采购文件要求有偏差（格式按附件</w:t>
      </w:r>
      <w:r>
        <w:rPr>
          <w:rFonts w:hint="eastAsia" w:ascii="方正仿宋_GBK" w:hAnsi="方正仿宋_GBK" w:eastAsia="方正仿宋_GBK" w:cs="方正仿宋_GBK"/>
          <w:sz w:val="28"/>
          <w:lang w:val="en-US" w:eastAsia="zh-CN"/>
        </w:rPr>
        <w:t>5</w:t>
      </w:r>
      <w:r>
        <w:rPr>
          <w:rFonts w:hint="eastAsia" w:ascii="方正仿宋_GBK" w:hAnsi="方正仿宋_GBK" w:eastAsia="方正仿宋_GBK" w:cs="方正仿宋_GBK"/>
          <w:sz w:val="28"/>
          <w:lang w:val="zh-CN" w:eastAsia="zh-CN"/>
        </w:rPr>
        <w:t>），必须详细说明，</w:t>
      </w:r>
      <w:r>
        <w:rPr>
          <w:rFonts w:hint="eastAsia" w:ascii="方正仿宋_GBK" w:hAnsi="方正仿宋_GBK" w:eastAsia="方正仿宋_GBK" w:cs="方正仿宋_GBK"/>
          <w:sz w:val="28"/>
          <w:lang w:eastAsia="zh-CN"/>
        </w:rPr>
        <w:t>须经比选小组评定和采购人许可，才能作为供应商实质性响应。</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主要包括三证合一的营业执照（复印件）</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法人代表委托书（原件）、业绩证明、信誉要求证明、其它资格证明（如企业资信证明、质量体系认证等）以及服务承诺等。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采购响应人或者其他利害关系人对采购项目的评审结果有不同意见，应当在采购结果公示期之内以书面形式向采购人提出异议（以采购人收到书面异议之日为准）。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重庆江北国际机场有限公司航站楼管理部采购监督小组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重庆江北国际机场有限公司</w:t>
      </w:r>
      <w:r>
        <w:rPr>
          <w:rFonts w:hint="eastAsia" w:ascii="方正仿宋_GBK" w:hAnsi="方正仿宋_GBK" w:eastAsia="方正仿宋_GBK" w:cs="方正仿宋_GBK"/>
          <w:sz w:val="28"/>
          <w:szCs w:val="28"/>
        </w:rPr>
        <w:t>办公楼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4</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15</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color w:val="auto"/>
          <w:kern w:val="0"/>
          <w:sz w:val="28"/>
          <w:szCs w:val="28"/>
        </w:rPr>
        <w:t>时送到重庆江北国际机场T3A航站楼31117办公室，过期不予受理。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4</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15</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时在重庆江北国际机场T3A航站楼办公楼对本项目进行比选，各比选响应人须参加。注：比选开始前，各比选响应人须在重庆江北国际机场T3A航站楼31117办公室等候通知具体比选地点。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t>参加比选唱价会议的比选响应人的法定代表人或其授权的代理人应当随身携带本人身份证（原件），授权的代理人还应当随身携带法定代表人授权委托书（原件），以备核验其合法身份。</w:t>
      </w:r>
    </w:p>
    <w:p>
      <w:pPr>
        <w:pStyle w:val="14"/>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pStyle w:val="21"/>
        <w:ind w:left="0" w:leftChars="0" w:right="600" w:firstLine="0" w:firstLineChars="0"/>
        <w:jc w:val="both"/>
        <w:rPr>
          <w:rFonts w:ascii="黑体" w:hAnsi="黑体" w:eastAsia="黑体"/>
          <w:color w:val="auto"/>
          <w:sz w:val="24"/>
        </w:rPr>
      </w:pPr>
      <w:bookmarkStart w:id="1" w:name="_Hlk18508484"/>
    </w:p>
    <w:p>
      <w:pPr>
        <w:pStyle w:val="21"/>
        <w:ind w:right="600" w:firstLine="480"/>
        <w:jc w:val="right"/>
        <w:rPr>
          <w:rFonts w:ascii="黑体" w:hAnsi="黑体" w:eastAsia="黑体"/>
          <w:color w:val="auto"/>
          <w:sz w:val="24"/>
        </w:rPr>
        <w:sectPr>
          <w:headerReference r:id="rId3" w:type="default"/>
          <w:footerReference r:id="rId4" w:type="default"/>
          <w:pgSz w:w="12240" w:h="15840"/>
          <w:pgMar w:top="1440" w:right="1440" w:bottom="1440" w:left="1440" w:header="720" w:footer="720" w:gutter="0"/>
          <w:pgNumType w:fmt="decimal"/>
          <w:cols w:space="720" w:num="1"/>
          <w:titlePg/>
        </w:sectPr>
      </w:pPr>
    </w:p>
    <w:p>
      <w:pPr>
        <w:pStyle w:val="21"/>
        <w:ind w:right="600" w:firstLine="480"/>
        <w:jc w:val="right"/>
        <w:rPr>
          <w:rFonts w:ascii="黑体" w:hAnsi="黑体" w:eastAsia="黑体"/>
          <w:color w:val="auto"/>
          <w:sz w:val="24"/>
        </w:rPr>
      </w:pPr>
    </w:p>
    <w:p>
      <w:pPr>
        <w:pStyle w:val="21"/>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bookmarkEnd w:id="1"/>
    <w:p>
      <w:pPr>
        <w:snapToGrid w:val="0"/>
        <w:spacing w:line="360" w:lineRule="auto"/>
        <w:rPr>
          <w:rFonts w:ascii="等线" w:hAnsi="等线" w:eastAsia="等线"/>
          <w:sz w:val="44"/>
          <w:szCs w:val="36"/>
        </w:rPr>
      </w:pPr>
    </w:p>
    <w:p>
      <w:pPr>
        <w:jc w:val="center"/>
        <w:rPr>
          <w:b/>
          <w:sz w:val="44"/>
        </w:rPr>
      </w:pPr>
      <w:r>
        <w:rPr>
          <w:b/>
          <w:sz w:val="44"/>
        </w:rPr>
        <w:t>_____________________________</w:t>
      </w:r>
    </w:p>
    <w:p>
      <w:pPr>
        <w:pStyle w:val="34"/>
        <w:ind w:firstLine="0" w:firstLineChars="0"/>
        <w:jc w:val="center"/>
        <w:rPr>
          <w:rFonts w:hint="eastAsia"/>
          <w:color w:val="auto"/>
          <w:lang w:eastAsia="zh-CN"/>
        </w:rPr>
      </w:pPr>
      <w:bookmarkStart w:id="2" w:name="_Hlk18508344"/>
      <w:r>
        <w:rPr>
          <w:rFonts w:hint="eastAsia"/>
          <w:color w:val="auto"/>
        </w:rPr>
        <w:t>重庆江北国际机场</w:t>
      </w:r>
      <w:r>
        <w:rPr>
          <w:rFonts w:hint="eastAsia"/>
          <w:color w:val="auto"/>
          <w:lang w:eastAsia="zh-CN"/>
        </w:rPr>
        <w:t>航站楼</w:t>
      </w:r>
    </w:p>
    <w:p>
      <w:pPr>
        <w:pStyle w:val="34"/>
        <w:ind w:firstLine="0" w:firstLineChars="0"/>
        <w:jc w:val="center"/>
        <w:rPr>
          <w:rFonts w:hint="default" w:eastAsia="华文中宋"/>
          <w:color w:val="auto"/>
          <w:lang w:val="en-US" w:eastAsia="zh-CN"/>
        </w:rPr>
      </w:pPr>
      <w:r>
        <w:rPr>
          <w:rFonts w:hint="eastAsia"/>
          <w:color w:val="auto"/>
          <w:lang w:eastAsia="zh-CN"/>
        </w:rPr>
        <w:t>消防备品备件</w:t>
      </w:r>
      <w:r>
        <w:rPr>
          <w:rFonts w:hint="eastAsia"/>
          <w:color w:val="auto"/>
        </w:rPr>
        <w:t>采购框架协议</w:t>
      </w:r>
    </w:p>
    <w:bookmarkEnd w:id="2"/>
    <w:p>
      <w:pPr>
        <w:jc w:val="center"/>
        <w:rPr>
          <w:b/>
          <w:sz w:val="44"/>
        </w:rPr>
      </w:pPr>
      <w:r>
        <w:rPr>
          <w:b/>
          <w:sz w:val="44"/>
        </w:rPr>
        <w:t>______________________________</w:t>
      </w:r>
    </w:p>
    <w:p>
      <w:pPr>
        <w:ind w:firstLine="880" w:firstLineChars="200"/>
        <w:jc w:val="center"/>
        <w:rPr>
          <w:rFonts w:ascii="等线" w:hAnsi="等线" w:eastAsia="等线"/>
          <w:b/>
          <w:sz w:val="44"/>
        </w:rPr>
      </w:pPr>
    </w:p>
    <w:p>
      <w:pPr>
        <w:pStyle w:val="2"/>
        <w:rPr>
          <w:rFonts w:ascii="等线" w:hAnsi="等线" w:eastAsia="等线"/>
          <w:b/>
          <w:sz w:val="44"/>
        </w:rPr>
      </w:pPr>
    </w:p>
    <w:p>
      <w:pPr>
        <w:rPr>
          <w:rFonts w:ascii="等线" w:hAnsi="等线" w:eastAsia="等线"/>
          <w:b/>
          <w:sz w:val="44"/>
        </w:rPr>
      </w:pPr>
    </w:p>
    <w:p>
      <w:pPr>
        <w:pStyle w:val="2"/>
        <w:rPr>
          <w:rFonts w:ascii="等线" w:hAnsi="等线" w:eastAsia="等线"/>
          <w:b/>
          <w:sz w:val="44"/>
        </w:rPr>
      </w:pPr>
    </w:p>
    <w:p/>
    <w:p>
      <w:pPr>
        <w:ind w:firstLine="420" w:firstLineChars="200"/>
        <w:jc w:val="center"/>
        <w:rPr>
          <w:rFonts w:ascii="等线" w:hAnsi="等线" w:eastAsia="等线"/>
          <w:b/>
        </w:rPr>
      </w:pPr>
    </w:p>
    <w:p>
      <w:pPr>
        <w:snapToGrid w:val="0"/>
        <w:spacing w:line="360" w:lineRule="auto"/>
        <w:jc w:val="center"/>
        <w:rPr>
          <w:rFonts w:hint="eastAsia" w:ascii="宋体" w:hAnsi="宋体" w:eastAsia="宋体"/>
          <w:b/>
          <w:sz w:val="32"/>
          <w:szCs w:val="32"/>
          <w:lang w:eastAsia="zh-CN"/>
        </w:rPr>
      </w:pPr>
      <w:bookmarkStart w:id="3" w:name="_Hlk18506346"/>
      <w:r>
        <w:rPr>
          <w:rFonts w:hint="eastAsia" w:ascii="宋体" w:hAnsi="宋体"/>
          <w:b/>
          <w:sz w:val="32"/>
          <w:szCs w:val="32"/>
        </w:rPr>
        <w:t>甲方：</w:t>
      </w:r>
      <w:r>
        <w:rPr>
          <w:rFonts w:hint="eastAsia" w:ascii="宋体" w:hAnsi="宋体"/>
          <w:b/>
          <w:sz w:val="32"/>
          <w:szCs w:val="32"/>
          <w:lang w:eastAsia="zh-CN"/>
        </w:rPr>
        <w:t>重庆江北国际机场有限公司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______________________</w:t>
      </w:r>
    </w:p>
    <w:bookmarkEnd w:id="3"/>
    <w:p>
      <w:pPr>
        <w:ind w:firstLine="422" w:firstLineChars="200"/>
        <w:rPr>
          <w:rFonts w:cs="宋体"/>
          <w:b/>
          <w:bCs/>
        </w:rPr>
      </w:pPr>
      <w:r>
        <w:rPr>
          <w:rFonts w:cs="宋体"/>
          <w:b/>
          <w:bCs/>
        </w:rPr>
        <w:br w:type="page"/>
      </w:r>
    </w:p>
    <w:p>
      <w:pPr>
        <w:ind w:firstLine="6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甲方：重庆江北国际机场有限公司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通讯地址：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邮箱地址：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账号：</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乙方：</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通讯地址：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邮箱地址：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账号：</w:t>
      </w:r>
    </w:p>
    <w:p>
      <w:pPr>
        <w:pStyle w:val="26"/>
        <w:keepNext w:val="0"/>
        <w:keepLines w:val="0"/>
        <w:pageBreakBefore w:val="0"/>
        <w:widowControl w:val="0"/>
        <w:kinsoku/>
        <w:wordWrap/>
        <w:overflowPunct/>
        <w:topLinePunct w:val="0"/>
        <w:autoSpaceDE/>
        <w:autoSpaceDN/>
        <w:bidi w:val="0"/>
        <w:adjustRightInd/>
        <w:snapToGrid/>
        <w:spacing w:line="360" w:lineRule="auto"/>
        <w:ind w:firstLine="6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根据《中华人民共和国合同法》及相关法律法规规定，经双方协商，一致同意就甲方向乙方采购</w:t>
      </w:r>
      <w:r>
        <w:rPr>
          <w:rFonts w:hint="eastAsia"/>
          <w:lang w:eastAsia="zh-CN"/>
        </w:rPr>
        <w:t>航站楼消防备品备件</w:t>
      </w:r>
      <w:r>
        <w:rPr>
          <w:rFonts w:hint="eastAsia"/>
        </w:rPr>
        <w:t>事宜达成以下协议，共同遵守履行:</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4" w:name="_Toc21009"/>
      <w:bookmarkStart w:id="5" w:name="_Toc24700706"/>
      <w:r>
        <w:rPr>
          <w:rFonts w:hint="eastAsia"/>
        </w:rPr>
        <w:t>第一条 采购的内容和范围</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rPr>
          <w:rFonts w:hint="eastAsia"/>
          <w:lang w:val="en-US" w:eastAsia="zh-CN"/>
        </w:rPr>
        <w:t xml:space="preserve"> </w:t>
      </w:r>
      <w:r>
        <w:rPr>
          <w:rFonts w:hint="eastAsia"/>
        </w:rPr>
        <w:t>甲方向乙方采购的内容是：</w:t>
      </w:r>
      <w:r>
        <w:rPr>
          <w:rFonts w:hint="eastAsia"/>
          <w:u w:val="none"/>
          <w:lang w:eastAsia="zh-CN"/>
        </w:rPr>
        <w:t>航站楼消防备品备件</w:t>
      </w:r>
      <w:r>
        <w:rPr>
          <w:rFonts w:hint="eastAsia"/>
        </w:rPr>
        <w:t>，范围</w:t>
      </w:r>
      <w:r>
        <w:rPr>
          <w:rFonts w:hint="eastAsia"/>
          <w:lang w:eastAsia="zh-CN"/>
        </w:rPr>
        <w:t>详见附件</w:t>
      </w:r>
      <w:r>
        <w:rPr>
          <w:rFonts w:hint="eastAsia"/>
          <w:lang w:val="en-US" w:eastAsia="zh-CN"/>
        </w:rPr>
        <w:t>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1.2 双方确认，本框架协议下，甲方是否采购以及采购的数量以甲方实际发出的需求为准。乙方对本框架协议下的标的物的供货行为并不是独占和排他的。</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6" w:name="_Toc24700707"/>
      <w:bookmarkStart w:id="7" w:name="_Toc12139"/>
      <w:r>
        <w:rPr>
          <w:rFonts w:hint="eastAsia"/>
        </w:rPr>
        <w:t>第二条  合同期限</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200"/>
        <w:textAlignment w:val="auto"/>
      </w:pPr>
      <w:r>
        <w:rPr>
          <w:rFonts w:hint="eastAsia"/>
        </w:rPr>
        <w:t>本合同期限为</w:t>
      </w:r>
      <w:r>
        <w:rPr>
          <w:u w:val="single"/>
        </w:rPr>
        <w:t xml:space="preserve">    </w:t>
      </w:r>
      <w:r>
        <w:rPr>
          <w:rFonts w:hint="eastAsia"/>
        </w:rPr>
        <w:t>年，自</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日起始至</w:t>
      </w:r>
      <w:r>
        <w:rPr>
          <w:rFonts w:hint="eastAsia"/>
          <w:u w:val="single"/>
        </w:rPr>
        <w:t xml:space="preserve"> </w:t>
      </w:r>
      <w:r>
        <w:rPr>
          <w:u w:val="single"/>
        </w:rPr>
        <w:t xml:space="preserve"> </w:t>
      </w:r>
      <w:r>
        <w:rPr>
          <w:rFonts w:hint="eastAsia"/>
          <w:u w:val="single"/>
        </w:rPr>
        <w:t xml:space="preserve"> </w:t>
      </w:r>
      <w:r>
        <w:rPr>
          <w:rFonts w:hint="eastAsia"/>
        </w:rPr>
        <w:t>年</w:t>
      </w:r>
      <w:r>
        <w:rPr>
          <w:u w:val="single"/>
        </w:rPr>
        <w:t xml:space="preserve">   </w:t>
      </w:r>
      <w:r>
        <w:rPr>
          <w:rFonts w:hint="eastAsia"/>
        </w:rPr>
        <w:t>月</w:t>
      </w:r>
      <w:r>
        <w:rPr>
          <w:u w:val="single"/>
        </w:rPr>
        <w:t xml:space="preserve"> </w:t>
      </w:r>
      <w:r>
        <w:rPr>
          <w:rFonts w:hint="eastAsia"/>
          <w:u w:val="single"/>
        </w:rPr>
        <w:t xml:space="preserve">  </w:t>
      </w:r>
      <w:r>
        <w:rPr>
          <w:rFonts w:hint="eastAsia"/>
        </w:rPr>
        <w:t>日止。</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8" w:name="_Toc27408"/>
      <w:bookmarkStart w:id="9" w:name="_Toc24700708"/>
      <w:r>
        <w:rPr>
          <w:rFonts w:hint="eastAsia"/>
        </w:rPr>
        <w:t>第三条 合同价款</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3.1 合同价款是指甲方向乙方实施采购应当向乙方支付的采购费用。具体标准详见附件二。</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3.2 合同价款包含货物运至重庆江北国际机场甲方指定地点所需的包装、运输、保险、安装调试、培训费用及其它风险措施费用。</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3.3 超出合同清单备品，由乙方按甲方需求报价，经甲方比选确认后签订供货订单，并按订单进行结算。</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0" w:name="_Toc24700709"/>
      <w:bookmarkStart w:id="11" w:name="_Toc31413"/>
      <w:r>
        <w:rPr>
          <w:rFonts w:hint="eastAsia"/>
        </w:rPr>
        <w:t>第四条 采购方式及费用结算</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4.1</w:t>
      </w:r>
      <w:r>
        <w:rPr>
          <w:rFonts w:hint="eastAsia"/>
          <w:lang w:val="en-US" w:eastAsia="zh-CN"/>
        </w:rPr>
        <w:t xml:space="preserve"> </w:t>
      </w:r>
      <w:r>
        <w:rPr>
          <w:rFonts w:hint="eastAsia"/>
        </w:rPr>
        <w:t>甲方在合同期限内根据自身需要，在本框架协议约定的采购范围内，不定期向乙方实施采购。采购的方式为以下第</w:t>
      </w:r>
      <w:r>
        <w:rPr>
          <w:rFonts w:hint="eastAsia"/>
          <w:u w:val="none"/>
          <w:lang w:val="en-US" w:eastAsia="zh-CN"/>
        </w:rPr>
        <w:t>1</w:t>
      </w:r>
      <w:r>
        <w:rPr>
          <w:rFonts w:hint="eastAsia"/>
        </w:rPr>
        <w:t>种。</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4.1.1 甲方</w:t>
      </w:r>
      <w:r>
        <w:rPr>
          <w:rFonts w:hint="eastAsia"/>
          <w:lang w:eastAsia="zh-CN"/>
        </w:rPr>
        <w:t>下设部门</w:t>
      </w:r>
      <w:r>
        <w:rPr>
          <w:rFonts w:hint="eastAsia"/>
          <w:u w:val="none"/>
          <w:lang w:eastAsia="zh-CN"/>
        </w:rPr>
        <w:t>航站楼管理部</w:t>
      </w:r>
      <w:r>
        <w:rPr>
          <w:rFonts w:hint="eastAsia"/>
        </w:rPr>
        <w:t>向乙方发出订单；</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4.1.2 甲乙双方另行签订具体的实施协议。</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color w:val="auto"/>
        </w:rPr>
      </w:pPr>
      <w:r>
        <w:rPr>
          <w:rFonts w:hint="eastAsia"/>
        </w:rPr>
        <w:t>4.2 采购费用按</w:t>
      </w:r>
      <w:r>
        <w:rPr>
          <w:rFonts w:hint="eastAsia"/>
          <w:u w:val="none"/>
          <w:lang w:eastAsia="zh-CN"/>
        </w:rPr>
        <w:t>季度</w:t>
      </w:r>
      <w:r>
        <w:rPr>
          <w:rFonts w:hint="eastAsia"/>
        </w:rPr>
        <w:t>结算。乙方按约完成供货并经甲方验收合格后，乙方提出采购费用支付的申请，经甲方确认后</w:t>
      </w:r>
      <w:r>
        <w:rPr>
          <w:rFonts w:hint="eastAsia"/>
          <w:u w:val="none"/>
          <w:lang w:val="en-US" w:eastAsia="zh-CN"/>
        </w:rPr>
        <w:t>30</w:t>
      </w:r>
      <w:r>
        <w:rPr>
          <w:rFonts w:hint="eastAsia"/>
        </w:rPr>
        <w:t>个工作</w:t>
      </w:r>
      <w:r>
        <w:rPr>
          <w:rFonts w:hint="eastAsia"/>
          <w:color w:val="auto"/>
        </w:rPr>
        <w:t>日内支付。</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eastAsia="仿宋_GB2312"/>
          <w:color w:val="auto"/>
          <w:lang w:val="en-US" w:eastAsia="zh-CN"/>
        </w:rPr>
      </w:pPr>
      <w:r>
        <w:rPr>
          <w:rFonts w:hint="eastAsia"/>
          <w:color w:val="auto"/>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2" w:name="_Toc2807"/>
      <w:bookmarkStart w:id="13" w:name="_Toc24700710"/>
      <w:r>
        <w:rPr>
          <w:rFonts w:hint="eastAsia"/>
        </w:rPr>
        <w:t>第五条 陈述与保证</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5.2 乙方承诺所供产品或服务的质量保证期为</w:t>
      </w:r>
      <w:r>
        <w:rPr>
          <w:rFonts w:hint="eastAsia"/>
          <w:u w:val="none"/>
          <w:lang w:val="en-US" w:eastAsia="zh-CN"/>
        </w:rPr>
        <w:t>12个</w:t>
      </w:r>
      <w:r>
        <w:rPr>
          <w:rFonts w:hint="eastAsia"/>
        </w:rPr>
        <w:t>月；</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5.3 因产品质量瑕疵或缺陷导致的甲方或第三人损害的，乙方承担赔偿责任。</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5.4 乙方应为产品提供适宜产品运输的包装方式，对于由于包装不良所发生的损失及由于采用不充分或不妥善的防护措施而造成的任何破损,乙方应承担由此而产生的一切费用和损失。</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5.5 运输费用由乙方承担。货物移交前，送货人员的安全、运货车辆、商品毁损、灭失等一切事故均由乙方承担。</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5.6 乙方承诺产品的供货期不超过7个日历天，特殊类产品需要延期供货需征得甲方同意。</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4" w:name="_Toc18383"/>
      <w:bookmarkStart w:id="15" w:name="_Toc24700711"/>
      <w:r>
        <w:rPr>
          <w:rFonts w:hint="eastAsia"/>
        </w:rPr>
        <w:t>第六条 交付与验收</w:t>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6.1</w:t>
      </w:r>
      <w:r>
        <w:rPr>
          <w:rFonts w:hint="eastAsia"/>
          <w:lang w:val="en-US" w:eastAsia="zh-CN"/>
        </w:rPr>
        <w:t xml:space="preserve"> </w:t>
      </w:r>
      <w:r>
        <w:rPr>
          <w:rFonts w:hint="eastAsia"/>
        </w:rPr>
        <w:t>乙方按甲方需求及时交付采购标的物。除非采购订单或实施协议另有规定外，原则上，交付地点为重庆江北国际机场甲方指定地点；交付方式为重庆江北国际机场卸货落地交货。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6.2 验收标准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6.2</w:t>
      </w:r>
      <w:r>
        <w:rPr>
          <w:rFonts w:hint="eastAsia"/>
        </w:rPr>
        <w:t>.1货到后，甲方按合同中产品规格及品牌进行收货。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6.2</w:t>
      </w:r>
      <w:r>
        <w:rPr>
          <w:rFonts w:hint="eastAsia"/>
        </w:rPr>
        <w:t>.2甲方收到产品的同时填写收货单，确认产品符合要求后甲乙双方在收货单上签字确认。</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6" w:name="_Toc1761"/>
      <w:bookmarkStart w:id="17" w:name="_Toc24700712"/>
      <w:r>
        <w:rPr>
          <w:rFonts w:hint="eastAsia"/>
        </w:rPr>
        <w:t>第七条 履约保证金</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eastAsia="仿宋_GB2312"/>
          <w:color w:val="auto"/>
          <w:u w:val="none"/>
          <w:lang w:val="en-US" w:eastAsia="zh-CN"/>
        </w:rPr>
      </w:pPr>
      <w:r>
        <w:rPr>
          <w:rFonts w:hint="eastAsia"/>
          <w:color w:val="auto"/>
        </w:rPr>
        <w:t>7.1</w:t>
      </w:r>
      <w:r>
        <w:rPr>
          <w:rFonts w:hint="eastAsia"/>
          <w:color w:val="auto"/>
          <w:lang w:val="en-US" w:eastAsia="zh-CN"/>
        </w:rPr>
        <w:t xml:space="preserve"> </w:t>
      </w:r>
      <w:r>
        <w:rPr>
          <w:rFonts w:hint="eastAsia"/>
          <w:color w:val="auto"/>
        </w:rPr>
        <w:t>为保证本框架合同的顺利履行，乙</w:t>
      </w:r>
      <w:r>
        <w:rPr>
          <w:rFonts w:hint="eastAsia"/>
          <w:color w:val="auto"/>
          <w:u w:val="none"/>
        </w:rPr>
        <w:t>方应向甲方交纳履约保证金即人民币：</w:t>
      </w:r>
      <w:r>
        <w:rPr>
          <w:rFonts w:hint="eastAsia"/>
          <w:color w:val="auto"/>
          <w:u w:val="none"/>
          <w:lang w:val="en-US" w:eastAsia="zh-CN"/>
        </w:rPr>
        <w:t>5000元</w:t>
      </w:r>
      <w:r>
        <w:rPr>
          <w:rFonts w:hint="eastAsia"/>
          <w:color w:val="auto"/>
          <w:u w:val="none"/>
        </w:rPr>
        <w:t>（</w:t>
      </w:r>
      <w:r>
        <w:rPr>
          <w:rFonts w:hint="eastAsia"/>
          <w:color w:val="auto"/>
          <w:u w:val="none"/>
          <w:lang w:eastAsia="zh-CN"/>
        </w:rPr>
        <w:t>大写：伍仟</w:t>
      </w:r>
      <w:r>
        <w:rPr>
          <w:rFonts w:hint="eastAsia"/>
          <w:color w:val="auto"/>
          <w:u w:val="none"/>
        </w:rPr>
        <w:t>元</w:t>
      </w:r>
      <w:r>
        <w:rPr>
          <w:rFonts w:hint="eastAsia"/>
          <w:color w:val="auto"/>
          <w:u w:val="none"/>
          <w:lang w:eastAsia="zh-CN"/>
        </w:rPr>
        <w:t>整</w:t>
      </w:r>
      <w:r>
        <w:rPr>
          <w:rFonts w:hint="eastAsia"/>
          <w:color w:val="auto"/>
          <w:u w:val="none"/>
        </w:rPr>
        <w:t>），</w:t>
      </w:r>
      <w:r>
        <w:rPr>
          <w:rFonts w:hint="eastAsia"/>
          <w:color w:val="auto"/>
          <w:u w:val="none"/>
          <w:lang w:val="en-US" w:eastAsia="zh-CN"/>
        </w:rPr>
        <w:t>应</w:t>
      </w:r>
      <w:r>
        <w:rPr>
          <w:rFonts w:hint="eastAsia"/>
          <w:color w:val="auto"/>
          <w:u w:val="none"/>
        </w:rPr>
        <w:t>在</w:t>
      </w:r>
      <w:r>
        <w:rPr>
          <w:rFonts w:hint="eastAsia"/>
          <w:color w:val="auto"/>
          <w:u w:val="none"/>
          <w:lang w:val="en-US" w:eastAsia="zh-CN"/>
        </w:rPr>
        <w:t>中标通知书发出10日内，一次性向甲方</w:t>
      </w:r>
      <w:r>
        <w:rPr>
          <w:rFonts w:hint="eastAsia"/>
          <w:color w:val="auto"/>
          <w:u w:val="none"/>
        </w:rPr>
        <w:t>缴纳。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color w:val="auto"/>
          <w:u w:val="none"/>
          <w:lang w:val="en-US" w:eastAsia="zh-CN"/>
        </w:rPr>
      </w:pPr>
      <w:r>
        <w:rPr>
          <w:rFonts w:hint="eastAsia"/>
          <w:color w:val="auto"/>
          <w:u w:val="none"/>
          <w:lang w:val="en-US" w:eastAsia="zh-CN"/>
        </w:rPr>
        <w:t>7.2 履约保证金应由乙方名义开立的账户支付到甲方账户，否则视为未支付，甲方有权追究乙方逾期付款责任。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eastAsia="仿宋_GB2312"/>
          <w:color w:val="auto"/>
          <w:lang w:val="en-US" w:eastAsia="zh-CN"/>
        </w:rPr>
      </w:pPr>
      <w:r>
        <w:rPr>
          <w:rFonts w:hint="eastAsia"/>
          <w:color w:val="auto"/>
          <w:lang w:val="en-US" w:eastAsia="zh-CN"/>
        </w:rPr>
        <w:t>7.3 乙方支付履约保证金时，应在“付款备注”中写明“航站楼消防备品备件采购框架合同履约保证金”。乙方不得与其他合同、其他缴费项目一起支付履约保证金，若因混合支付造成无法确认为本合同款项到账的，视为逾期未支付。</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u w:val="none"/>
        </w:rPr>
      </w:pPr>
      <w:r>
        <w:rPr>
          <w:rFonts w:hint="eastAsia"/>
        </w:rPr>
        <w:t>7.</w:t>
      </w:r>
      <w:r>
        <w:rPr>
          <w:rFonts w:hint="eastAsia"/>
          <w:lang w:val="en-US" w:eastAsia="zh-CN"/>
        </w:rPr>
        <w:t xml:space="preserve">4 </w:t>
      </w:r>
      <w:r>
        <w:rPr>
          <w:rFonts w:hint="eastAsia"/>
        </w:rPr>
        <w:t>甲方在任何时候都有权从履</w:t>
      </w:r>
      <w:r>
        <w:rPr>
          <w:rFonts w:hint="eastAsia"/>
          <w:u w:val="none"/>
        </w:rPr>
        <w:t>约保证金中扣除由于乙方违反本合同条款而应支付的违约金和赔偿，并且乙方在接到扣除通知书后5个工作日内，应补充扣除金额，以保持履约保证金的完整性。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u w:val="none"/>
        </w:rPr>
      </w:pPr>
      <w:r>
        <w:rPr>
          <w:rFonts w:hint="eastAsia"/>
          <w:u w:val="none"/>
        </w:rPr>
        <w:t>7.</w:t>
      </w:r>
      <w:r>
        <w:rPr>
          <w:rFonts w:hint="eastAsia"/>
          <w:u w:val="none"/>
          <w:lang w:val="en-US" w:eastAsia="zh-CN"/>
        </w:rPr>
        <w:t xml:space="preserve">5 </w:t>
      </w:r>
      <w:r>
        <w:rPr>
          <w:rFonts w:hint="eastAsia"/>
          <w:u w:val="none"/>
        </w:rPr>
        <w:t>本合同期限届满，全部款项结清</w:t>
      </w:r>
      <w:r>
        <w:rPr>
          <w:rFonts w:hint="eastAsia"/>
          <w:u w:val="none"/>
          <w:lang w:eastAsia="zh-CN"/>
        </w:rPr>
        <w:t>且质保期满</w:t>
      </w:r>
      <w:r>
        <w:rPr>
          <w:rFonts w:hint="eastAsia"/>
          <w:u w:val="none"/>
        </w:rPr>
        <w:t>后</w:t>
      </w:r>
      <w:r>
        <w:rPr>
          <w:rFonts w:hint="eastAsia"/>
          <w:u w:val="none"/>
          <w:lang w:val="en-US" w:eastAsia="zh-CN"/>
        </w:rPr>
        <w:t>30</w:t>
      </w:r>
      <w:r>
        <w:rPr>
          <w:rFonts w:hint="eastAsia"/>
          <w:u w:val="none"/>
        </w:rPr>
        <w:t>个</w:t>
      </w:r>
      <w:r>
        <w:rPr>
          <w:rFonts w:hint="eastAsia"/>
          <w:u w:val="none"/>
          <w:lang w:eastAsia="zh-CN"/>
        </w:rPr>
        <w:t>工作日</w:t>
      </w:r>
      <w:r>
        <w:rPr>
          <w:rFonts w:hint="eastAsia"/>
          <w:u w:val="none"/>
        </w:rPr>
        <w:t>内将剩余履约保证金无息返还乙方。</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8" w:name="_Toc24700713"/>
      <w:bookmarkStart w:id="19" w:name="_Toc28047"/>
      <w:r>
        <w:rPr>
          <w:rFonts w:hint="eastAsia"/>
        </w:rPr>
        <w:t>第八条  双方权利与义务</w:t>
      </w:r>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8.1</w:t>
      </w:r>
      <w:r>
        <w:rPr>
          <w:rFonts w:hint="eastAsia"/>
          <w:lang w:val="en-US" w:eastAsia="zh-CN"/>
        </w:rPr>
        <w:t xml:space="preserve"> </w:t>
      </w:r>
      <w:r>
        <w:rPr>
          <w:rFonts w:hint="eastAsia"/>
        </w:rPr>
        <w:t>甲方应按约定向乙方支付采购费用；</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8.2</w:t>
      </w:r>
      <w:r>
        <w:rPr>
          <w:rFonts w:hint="eastAsia"/>
          <w:lang w:val="en-US" w:eastAsia="zh-CN"/>
        </w:rPr>
        <w:t xml:space="preserve"> </w:t>
      </w:r>
      <w:r>
        <w:rPr>
          <w:rFonts w:hint="eastAsia"/>
        </w:rPr>
        <w:t>甲方超出本框架协议约定的采购内容和范围实施采购的，乙方有权拒绝履行，但乙方应书面回复甲方并说明理由；</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8.3</w:t>
      </w:r>
      <w:r>
        <w:rPr>
          <w:rFonts w:hint="eastAsia"/>
          <w:lang w:val="en-US" w:eastAsia="zh-CN"/>
        </w:rPr>
        <w:t xml:space="preserve"> </w:t>
      </w:r>
      <w:r>
        <w:rPr>
          <w:rFonts w:hint="eastAsia"/>
        </w:rPr>
        <w:t>因履行合同需要，乙方如需进入机场隔离区的，甲方应协助乙方按机场管理机构有关规定办理相关通行的手续，费用由乙方自理；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8.4 乙方不得拒绝甲方在本框架协议下的采购需求，否则应承担违约责任；</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8.5 甲方有权对乙方履行本框架协议实施监督，并进行考核；</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 xml:space="preserve">8.6 </w:t>
      </w:r>
      <w:r>
        <w:rPr>
          <w:rFonts w:hint="eastAsia"/>
          <w:lang w:eastAsia="zh-CN"/>
        </w:rPr>
        <w:t>乙方</w:t>
      </w:r>
      <w:r>
        <w:rPr>
          <w:rFonts w:hint="eastAsia"/>
        </w:rPr>
        <w:t>按照甲方要求按时交付货物。</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 xml:space="preserve">8.7 </w:t>
      </w:r>
      <w:r>
        <w:rPr>
          <w:rFonts w:hint="eastAsia"/>
        </w:rPr>
        <w:t>乙方保证所供货物是原厂正品，质量符合国家和行业标准。</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0" w:name="_Toc32713"/>
      <w:bookmarkStart w:id="21" w:name="_Toc24700714"/>
      <w:r>
        <w:rPr>
          <w:rFonts w:hint="eastAsia"/>
        </w:rPr>
        <w:t>第九条  违约责任</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9</w:t>
      </w:r>
      <w:r>
        <w:t>.1</w:t>
      </w:r>
      <w:r>
        <w:rPr>
          <w:rFonts w:hint="eastAsia"/>
          <w:lang w:val="en-US" w:eastAsia="zh-CN"/>
        </w:rPr>
        <w:t xml:space="preserve"> </w:t>
      </w:r>
      <w:r>
        <w:t>乙方逾期交</w:t>
      </w:r>
      <w:r>
        <w:rPr>
          <w:rFonts w:hint="eastAsia"/>
        </w:rPr>
        <w:t>货</w:t>
      </w:r>
      <w:r>
        <w:t>，乙方应向甲方偿付逾期违约金。逾期违约金按</w:t>
      </w:r>
      <w:r>
        <w:rPr>
          <w:rFonts w:hint="eastAsia"/>
        </w:rPr>
        <w:t>照</w:t>
      </w:r>
      <w:r>
        <w:rPr>
          <w:rFonts w:hint="eastAsia"/>
          <w:u w:val="none"/>
          <w:lang w:eastAsia="zh-CN"/>
        </w:rPr>
        <w:t>每日</w:t>
      </w:r>
      <w:r>
        <w:rPr>
          <w:rFonts w:hint="eastAsia"/>
          <w:u w:val="none"/>
          <w:lang w:val="en-US" w:eastAsia="zh-CN"/>
        </w:rPr>
        <w:t>300元</w:t>
      </w:r>
      <w:r>
        <w:rPr>
          <w:rFonts w:hint="eastAsia"/>
        </w:rPr>
        <w:t>计算。</w:t>
      </w:r>
      <w:r>
        <w:t>违约金尚不能补偿对方损失时，有权向对方追索实际损失的赔偿金。</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9</w:t>
      </w:r>
      <w:r>
        <w:t>.2 乙方</w:t>
      </w:r>
      <w:r>
        <w:rPr>
          <w:rFonts w:hint="eastAsia"/>
        </w:rPr>
        <w:t>延迟履行或履行不符合约定的</w:t>
      </w:r>
      <w:r>
        <w:t>，</w:t>
      </w:r>
      <w:r>
        <w:rPr>
          <w:rFonts w:hint="eastAsia"/>
        </w:rPr>
        <w:t>经甲方催告后仍不能的，</w:t>
      </w:r>
      <w:r>
        <w:t>甲方有权</w:t>
      </w:r>
      <w:r>
        <w:rPr>
          <w:rFonts w:hint="eastAsia"/>
        </w:rPr>
        <w:t>解除合同，履约保证金作为违约金不予退还。履约保证金不足以弥补甲方损失的，甲方有权追偿。</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9.3</w:t>
      </w:r>
      <w:r>
        <w:rPr>
          <w:rFonts w:hint="eastAsia"/>
          <w:lang w:val="en-US" w:eastAsia="zh-CN"/>
        </w:rPr>
        <w:t xml:space="preserve"> </w:t>
      </w:r>
      <w:r>
        <w:rPr>
          <w:rFonts w:hint="eastAsia"/>
        </w:rPr>
        <w:t>乙方供货出现批量性质量问题、或者甲方对质量提出投诉并被证实有质量问题，甲方有权扣除乙方的履约保证金人民币1000-2000元，保证金扣完后可以单方面解除本合同。</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9.4 </w:t>
      </w:r>
      <w:r>
        <w:rPr>
          <w:rFonts w:hint="eastAsia"/>
        </w:rPr>
        <w:t>本合同履行过程中，如果合同履行条件发生变化，由双方进行协商，并以签订补充合同的方式加以确认，补充合同与本合同具有同等效力。</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2" w:name="_Toc24700715"/>
      <w:bookmarkStart w:id="23" w:name="_Toc8317"/>
      <w:r>
        <w:t>第</w:t>
      </w:r>
      <w:r>
        <w:rPr>
          <w:rFonts w:hint="eastAsia"/>
        </w:rPr>
        <w:t>十</w:t>
      </w:r>
      <w:r>
        <w:t>条 不可抗力</w:t>
      </w:r>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10</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10</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4" w:name="_Toc31148"/>
      <w:bookmarkStart w:id="25" w:name="_Toc24700716"/>
      <w:r>
        <w:rPr>
          <w:rFonts w:hint="eastAsia"/>
        </w:rPr>
        <w:t>第十一条 通知条款</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甲方指定的联系方式：</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联系人：</w:t>
      </w:r>
      <w:r>
        <w:rPr>
          <w:rFonts w:ascii="Times New Roman" w:hAnsi="Times New Roman" w:cs="Times New Roman"/>
        </w:rPr>
        <w:t>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联系电话：</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通讯地址：</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电子邮件：</w:t>
      </w:r>
      <w:r>
        <w:rPr>
          <w:rFonts w:ascii="Times New Roman" w:hAnsi="Times New Roman" w:cs="Times New Roman"/>
        </w:rPr>
        <w:t>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乙方指定的联系方式：</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联系人：</w:t>
      </w:r>
      <w:r>
        <w:rPr>
          <w:rFonts w:ascii="Times New Roman" w:hAnsi="Times New Roman" w:cs="Times New Roman"/>
        </w:rPr>
        <w:t>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联系电话：</w:t>
      </w:r>
      <w:r>
        <w:rPr>
          <w:rFonts w:ascii="Times New Roman" w:hAnsi="Times New Roman" w:cs="Times New Roman"/>
        </w:rPr>
        <w:t>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通讯地址：</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电子邮件：</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.1</w:t>
      </w:r>
      <w:r>
        <w:rPr>
          <w:rFonts w:hint="eastAsia"/>
          <w:lang w:val="en-US" w:eastAsia="zh-CN"/>
        </w:rPr>
        <w:t xml:space="preserve"> </w:t>
      </w:r>
      <w:r>
        <w:t>采用当面签收的，应由合同中指定的联系人或双方授权的代表签收，签收日期即为送达时间。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.2</w:t>
      </w:r>
      <w:r>
        <w:rPr>
          <w:rFonts w:hint="eastAsia"/>
          <w:lang w:val="en-US" w:eastAsia="zh-CN"/>
        </w:rPr>
        <w:t xml:space="preserve"> </w:t>
      </w:r>
      <w: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.4</w:t>
      </w:r>
      <w:r>
        <w:rPr>
          <w:rFonts w:hint="eastAsia"/>
          <w:lang w:val="en-US" w:eastAsia="zh-CN"/>
        </w:rPr>
        <w:t xml:space="preserve"> </w:t>
      </w:r>
      <w: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.5</w:t>
      </w:r>
      <w:r>
        <w:rPr>
          <w:rFonts w:hint="eastAsia"/>
          <w:lang w:val="en-US" w:eastAsia="zh-CN"/>
        </w:rPr>
        <w:t xml:space="preserve"> </w:t>
      </w:r>
      <w:r>
        <w:t>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.7</w:t>
      </w:r>
      <w:r>
        <w:rPr>
          <w:rFonts w:hint="eastAsia"/>
          <w:lang w:val="en-US" w:eastAsia="zh-CN"/>
        </w:rPr>
        <w:t xml:space="preserve"> </w:t>
      </w:r>
      <w:r>
        <w:t>本合同约定的联系方式与送达方式同时可作为法律文书的联系方式与送达方式。</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6" w:name="_Toc14318"/>
      <w:bookmarkStart w:id="27" w:name="_Toc24700717"/>
      <w:r>
        <w:t>第</w:t>
      </w:r>
      <w:r>
        <w:rPr>
          <w:rFonts w:hint="eastAsia"/>
        </w:rPr>
        <w:t>十二</w:t>
      </w:r>
      <w:r>
        <w:t xml:space="preserve">条 </w:t>
      </w:r>
      <w:r>
        <w:rPr>
          <w:rFonts w:hint="eastAsia"/>
        </w:rPr>
        <w:t>保密条款</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8" w:name="_Toc27820"/>
      <w:bookmarkStart w:id="29" w:name="_Toc24700718"/>
      <w:r>
        <w:t>第</w:t>
      </w:r>
      <w:r>
        <w:rPr>
          <w:rFonts w:hint="eastAsia"/>
        </w:rPr>
        <w:t>十三</w:t>
      </w:r>
      <w:r>
        <w:t xml:space="preserve">条 </w:t>
      </w:r>
      <w:r>
        <w:rPr>
          <w:rFonts w:hint="eastAsia"/>
        </w:rPr>
        <w:t>合同争议的解决方式</w:t>
      </w:r>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3</w:t>
      </w:r>
      <w:r>
        <w:t xml:space="preserve">.1 </w:t>
      </w:r>
      <w:r>
        <w:rPr>
          <w:rFonts w:hint="eastAsia"/>
        </w:rPr>
        <w:t>若在合同履行过程中发生争议，甲乙双方应当友好协商解决，协商不成，按以下第（</w:t>
      </w:r>
      <w:r>
        <w:t xml:space="preserve">   ）种方式解决：</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（一）提交重庆仲裁委员会，按照申请仲裁时该会现行有效的仲裁规则进行仲裁。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（二）向</w:t>
      </w:r>
      <w:r>
        <w:t>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3</w:t>
      </w:r>
      <w:r>
        <w:t>.2</w:t>
      </w:r>
      <w:r>
        <w:rPr>
          <w:rFonts w:hint="eastAsia"/>
          <w:lang w:val="en-US" w:eastAsia="zh-CN"/>
        </w:rPr>
        <w:t xml:space="preserve"> </w:t>
      </w:r>
      <w:r>
        <w:t>在诉讼期间，除正在进行诉讼的部分外，合同其它部分继续执行。</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30" w:name="_Toc24700719"/>
      <w:bookmarkStart w:id="31" w:name="_Toc22804"/>
      <w:r>
        <w:rPr>
          <w:rFonts w:hint="eastAsia"/>
        </w:rPr>
        <w:t xml:space="preserve">第十四条 </w:t>
      </w:r>
      <w:r>
        <w:t>合同的变更和解除</w:t>
      </w:r>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4</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4</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32" w:name="_Toc10341"/>
      <w:bookmarkStart w:id="33" w:name="_Toc24700720"/>
      <w:r>
        <w:t>第</w:t>
      </w:r>
      <w:r>
        <w:rPr>
          <w:rFonts w:hint="eastAsia"/>
        </w:rPr>
        <w:t>十五</w:t>
      </w:r>
      <w:r>
        <w:t>条 合同生效及其他</w:t>
      </w:r>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5</w:t>
      </w:r>
      <w:r>
        <w:t xml:space="preserve">.1 </w:t>
      </w:r>
      <w:r>
        <w:rPr>
          <w:rFonts w:hint="eastAsia"/>
        </w:rPr>
        <w:t>乙方和甲方约定合同内容双方法人代表人或授权代表签字并加盖公司公章或合同专用章后生效</w:t>
      </w:r>
      <w: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b/>
          <w:bCs/>
        </w:rPr>
      </w:pPr>
      <w:r>
        <w:t>1</w:t>
      </w:r>
      <w:r>
        <w:rPr>
          <w:rFonts w:hint="eastAsia"/>
        </w:rPr>
        <w:t>5</w:t>
      </w:r>
      <w:r>
        <w:t>.</w:t>
      </w:r>
      <w:r>
        <w:rPr>
          <w:rFonts w:hint="eastAsia"/>
        </w:rPr>
        <w:t>2</w:t>
      </w:r>
      <w:r>
        <w:t xml:space="preserve"> 本合</w:t>
      </w:r>
      <w:r>
        <w:rPr>
          <w:u w:val="none"/>
        </w:rPr>
        <w:t>同一式</w:t>
      </w:r>
      <w:r>
        <w:rPr>
          <w:rFonts w:hint="eastAsia"/>
          <w:u w:val="none"/>
          <w:lang w:eastAsia="zh-CN"/>
        </w:rPr>
        <w:t>陆</w:t>
      </w:r>
      <w:r>
        <w:rPr>
          <w:u w:val="none"/>
        </w:rPr>
        <w:t>份，甲方执</w:t>
      </w:r>
      <w:r>
        <w:rPr>
          <w:rFonts w:hint="eastAsia"/>
          <w:u w:val="none"/>
          <w:lang w:eastAsia="zh-CN"/>
        </w:rPr>
        <w:t>肆</w:t>
      </w:r>
      <w:r>
        <w:rPr>
          <w:u w:val="none"/>
        </w:rPr>
        <w:t>份，乙方执</w:t>
      </w:r>
      <w:r>
        <w:rPr>
          <w:rFonts w:hint="eastAsia"/>
          <w:u w:val="none"/>
          <w:lang w:eastAsia="zh-CN"/>
        </w:rPr>
        <w:t>贰</w:t>
      </w:r>
      <w:r>
        <w:rPr>
          <w:u w:val="none"/>
        </w:rPr>
        <w:t>份</w:t>
      </w:r>
      <w:r>
        <w:rPr>
          <w:rFonts w:hint="eastAsia"/>
          <w:u w:val="none"/>
        </w:rPr>
        <w:t>，具有同等法</w:t>
      </w:r>
      <w:r>
        <w:rPr>
          <w:rFonts w:hint="eastAsia"/>
        </w:rPr>
        <w:t>律效力</w:t>
      </w:r>
      <w: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b/>
          <w:bCs/>
        </w:rPr>
      </w:pPr>
      <w:r>
        <w:rPr>
          <w:b/>
          <w:bCs/>
        </w:rPr>
        <w:t>甲方（盖章）：</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乙方（盖章）：</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签订地点：</w:t>
      </w: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pStyle w:val="2"/>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pStyle w:val="2"/>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rPr>
          <w:b/>
          <w:sz w:val="28"/>
        </w:rPr>
      </w:pPr>
      <w:r>
        <w:rPr>
          <w:b/>
          <w:sz w:val="28"/>
        </w:rPr>
        <w:br w:type="page"/>
      </w:r>
    </w:p>
    <w:p>
      <w:pPr>
        <w:pStyle w:val="2"/>
      </w:pPr>
    </w:p>
    <w:p>
      <w:pPr>
        <w:keepNext w:val="0"/>
        <w:keepLines w:val="0"/>
        <w:pageBreakBefore w:val="0"/>
        <w:kinsoku/>
        <w:wordWrap/>
        <w:overflowPunct/>
        <w:topLinePunct w:val="0"/>
        <w:autoSpaceDE/>
        <w:autoSpaceDN/>
        <w:bidi w:val="0"/>
        <w:adjustRightInd/>
        <w:snapToGrid/>
        <w:spacing w:before="120" w:line="360" w:lineRule="auto"/>
        <w:ind w:firstLine="562"/>
        <w:textAlignment w:val="auto"/>
        <w:outlineLvl w:val="0"/>
        <w:rPr>
          <w:b/>
          <w:sz w:val="28"/>
        </w:rPr>
      </w:pPr>
      <w:bookmarkStart w:id="34" w:name="_Toc4707"/>
      <w:bookmarkStart w:id="35" w:name="_Toc29886"/>
      <w:bookmarkStart w:id="36" w:name="_Toc8070"/>
      <w:r>
        <w:rPr>
          <w:rFonts w:hint="eastAsia"/>
          <w:b/>
          <w:sz w:val="28"/>
        </w:rPr>
        <w:t>二、合同附件</w:t>
      </w:r>
      <w:bookmarkEnd w:id="34"/>
      <w:bookmarkEnd w:id="35"/>
      <w:bookmarkEnd w:id="36"/>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left"/>
        <w:textAlignment w:val="auto"/>
        <w:rPr>
          <w:b/>
          <w:sz w:val="28"/>
        </w:rPr>
      </w:pPr>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left"/>
        <w:textAlignment w:val="auto"/>
        <w:rPr>
          <w:b/>
          <w:sz w:val="28"/>
        </w:rPr>
      </w:pPr>
      <w:r>
        <w:rPr>
          <w:rFonts w:hint="eastAsia"/>
          <w:b/>
          <w:sz w:val="28"/>
        </w:rPr>
        <w:t>附件</w:t>
      </w:r>
      <w:r>
        <w:rPr>
          <w:rFonts w:hint="eastAsia"/>
          <w:b/>
          <w:sz w:val="28"/>
          <w:lang w:val="en-US" w:eastAsia="zh-CN"/>
        </w:rPr>
        <w:t>一</w:t>
      </w:r>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center"/>
        <w:textAlignment w:val="auto"/>
        <w:rPr>
          <w:b/>
          <w:sz w:val="28"/>
        </w:rPr>
      </w:pPr>
      <w:r>
        <w:rPr>
          <w:rFonts w:hint="eastAsia"/>
          <w:b/>
          <w:sz w:val="28"/>
        </w:rPr>
        <w:t>重庆江北国际机场航站楼安全管理协议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rFonts w:hint="eastAsia" w:eastAsia="宋体"/>
          <w:sz w:val="22"/>
          <w:lang w:eastAsia="zh-CN"/>
        </w:rPr>
      </w:pPr>
      <w:r>
        <w:rPr>
          <w:rFonts w:hint="eastAsia"/>
          <w:sz w:val="22"/>
        </w:rPr>
        <w:t>甲方：</w:t>
      </w:r>
      <w:r>
        <w:rPr>
          <w:rFonts w:hint="eastAsia"/>
          <w:sz w:val="22"/>
          <w:lang w:eastAsia="zh-CN"/>
        </w:rPr>
        <w:t>重庆江北国际机场有限公司</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乙方：</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一、承租场所基本情况</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（一）场所位置：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（二）场所用途或使用功能：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（三）协议期限：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二、甲乙双方安全责任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（一）甲方责任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1</w:t>
      </w:r>
      <w:r>
        <w:rPr>
          <w:rFonts w:hint="eastAsia"/>
          <w:sz w:val="22"/>
        </w:rPr>
        <w:t>.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2</w:t>
      </w:r>
      <w:r>
        <w:rPr>
          <w:rFonts w:hint="eastAsia"/>
          <w:sz w:val="22"/>
        </w:rPr>
        <w:t>.</w:t>
      </w:r>
      <w:r>
        <w:rPr>
          <w:sz w:val="22"/>
        </w:rPr>
        <w:t>负责向乙方宣传有关消防、空防、</w:t>
      </w:r>
      <w:r>
        <w:rPr>
          <w:rFonts w:hint="eastAsia"/>
          <w:sz w:val="22"/>
        </w:rPr>
        <w:t>运行、施工、治安、旅客意外伤害等安全方面的法律、法规等规定。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3</w:t>
      </w:r>
      <w:r>
        <w:rPr>
          <w:rFonts w:hint="eastAsia"/>
          <w:sz w:val="22"/>
        </w:rPr>
        <w:t>.</w:t>
      </w:r>
      <w:r>
        <w:rPr>
          <w:sz w:val="22"/>
        </w:rPr>
        <w:t>督促、检查、指导乙方做好安全管理工作，根据约定实施对</w:t>
      </w:r>
      <w:r>
        <w:rPr>
          <w:rFonts w:hint="eastAsia"/>
          <w:sz w:val="22"/>
        </w:rPr>
        <w:t>乙方的处罚。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4</w:t>
      </w:r>
      <w:r>
        <w:rPr>
          <w:rFonts w:hint="eastAsia"/>
          <w:sz w:val="22"/>
        </w:rPr>
        <w:t>.</w:t>
      </w:r>
      <w:r>
        <w:rPr>
          <w:sz w:val="22"/>
        </w:rPr>
        <w:t>定期组织乙方召开安全协调会，协调解决乙方需航站楼驻楼单位配合整改的安全问题。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（二）乙方责任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参加甲方组织的各类安全会议、应急救援演练、安全培训和各类安全整治及安全主题活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1</w:t>
      </w:r>
      <w:r>
        <w:rPr>
          <w:rFonts w:hint="eastAsia"/>
          <w:sz w:val="22"/>
        </w:rPr>
        <w:t>.空防安全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1）严格遵守国家、行业、重庆</w:t>
      </w:r>
      <w:r>
        <w:rPr>
          <w:rFonts w:hint="eastAsia"/>
          <w:sz w:val="22"/>
        </w:rPr>
        <w:t>江北国际</w:t>
      </w:r>
      <w:r>
        <w:rPr>
          <w:sz w:val="22"/>
        </w:rPr>
        <w:t>机场有关空防安全的规定，不以任何作为或不作为干扰航空器的运行。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2）执行《重庆江北国际机场航空安全保卫方案》，遵守机场各</w:t>
      </w:r>
      <w:r>
        <w:rPr>
          <w:rFonts w:hint="eastAsia"/>
          <w:sz w:val="22"/>
        </w:rPr>
        <w:t>项空防安全管理规定，切实落实各项空防安全管理措施，认真履行各项安全保卫职责。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3）根据《民用航空背景调查规定》，认真开展所属员工背景调查工作，并建档留存。及时、准确向</w:t>
      </w:r>
      <w:r>
        <w:rPr>
          <w:rFonts w:hint="eastAsia"/>
          <w:sz w:val="22"/>
        </w:rPr>
        <w:t>重庆市公安局机场分局、甲方安全检查站等填报员工（含无证人员）基本信息。加强对员工现实表现情况的掌握，及时排查内部矛盾和隐患并做好相应台帐记录。</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4）认真开展新进员工空防安全教育、培训，</w:t>
      </w:r>
      <w:r>
        <w:rPr>
          <w:rFonts w:hint="eastAsia"/>
          <w:sz w:val="22"/>
        </w:rPr>
        <w:t>每月</w:t>
      </w:r>
      <w:r>
        <w:rPr>
          <w:sz w:val="22"/>
        </w:rPr>
        <w:t>对在职员工进行</w:t>
      </w:r>
      <w:r>
        <w:rPr>
          <w:rFonts w:hint="eastAsia"/>
          <w:sz w:val="22"/>
        </w:rPr>
        <w:t>至少一次空防相关</w:t>
      </w:r>
      <w:r>
        <w:rPr>
          <w:sz w:val="22"/>
        </w:rPr>
        <w:t>安全教育</w:t>
      </w:r>
      <w:r>
        <w:rPr>
          <w:rFonts w:hint="eastAsia"/>
          <w:sz w:val="22"/>
        </w:rPr>
        <w:t>，并规范建立</w:t>
      </w:r>
      <w:r>
        <w:rPr>
          <w:sz w:val="22"/>
        </w:rPr>
        <w:t>教育培训台</w:t>
      </w:r>
      <w:r>
        <w:rPr>
          <w:rFonts w:hint="eastAsia"/>
          <w:sz w:val="22"/>
        </w:rPr>
        <w:t>帐，</w:t>
      </w:r>
      <w:r>
        <w:rPr>
          <w:sz w:val="22"/>
        </w:rPr>
        <w:t>切实提高员工</w:t>
      </w:r>
      <w:r>
        <w:rPr>
          <w:rFonts w:hint="eastAsia"/>
          <w:sz w:val="22"/>
        </w:rPr>
        <w:t>空防</w:t>
      </w:r>
      <w:r>
        <w:rPr>
          <w:sz w:val="22"/>
        </w:rPr>
        <w:t>意识，着重</w:t>
      </w:r>
      <w:r>
        <w:rPr>
          <w:rFonts w:hint="eastAsia"/>
          <w:sz w:val="22"/>
        </w:rPr>
        <w:t>培养</w:t>
      </w:r>
      <w:r>
        <w:rPr>
          <w:sz w:val="22"/>
        </w:rPr>
        <w:t>员工遵章守纪意识、</w:t>
      </w:r>
      <w:r>
        <w:rPr>
          <w:rFonts w:hint="eastAsia"/>
          <w:sz w:val="22"/>
        </w:rPr>
        <w:t>空防安全</w:t>
      </w:r>
      <w:r>
        <w:rPr>
          <w:sz w:val="22"/>
        </w:rPr>
        <w:t>防范意识</w:t>
      </w:r>
      <w:r>
        <w:rPr>
          <w:rFonts w:hint="eastAsia"/>
          <w:sz w:val="22"/>
        </w:rPr>
        <w:t>，促进员工养成主动发现并报告异常情况及问题的良好习惯</w:t>
      </w:r>
      <w:r>
        <w:rPr>
          <w:sz w:val="22"/>
        </w:rPr>
        <w:t>。</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5）严格按照《重庆江北国际机场控制区通行证件管理规定》流程申办控制区证件，按工作需要如实申请员工通行区域；建立本单位证件使用</w:t>
      </w:r>
      <w:r>
        <w:rPr>
          <w:rFonts w:hint="eastAsia"/>
          <w:sz w:val="22"/>
        </w:rPr>
        <w:t>及</w:t>
      </w:r>
      <w:r>
        <w:rPr>
          <w:sz w:val="22"/>
        </w:rPr>
        <w:t>管理制度，规范员工</w:t>
      </w:r>
      <w:r>
        <w:rPr>
          <w:rFonts w:hint="eastAsia"/>
          <w:sz w:val="22"/>
        </w:rPr>
        <w:t>证件</w:t>
      </w:r>
      <w:r>
        <w:rPr>
          <w:sz w:val="22"/>
        </w:rPr>
        <w:t>日常使用</w:t>
      </w:r>
      <w:r>
        <w:rPr>
          <w:rFonts w:hint="eastAsia"/>
          <w:sz w:val="22"/>
        </w:rPr>
        <w:t>，</w:t>
      </w:r>
      <w:r>
        <w:rPr>
          <w:sz w:val="22"/>
        </w:rPr>
        <w:t>定期清理本单位证件，及时清退离职人员证件，完善证件管理台</w:t>
      </w:r>
      <w:r>
        <w:rPr>
          <w:rFonts w:hint="eastAsia"/>
          <w:sz w:val="22"/>
        </w:rPr>
        <w:t>帐</w:t>
      </w:r>
      <w:r>
        <w:rPr>
          <w:sz w:val="22"/>
        </w:rPr>
        <w:t>，防止证件遗失、被盗、损毁或失控。</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6）严格按照</w:t>
      </w:r>
      <w:r>
        <w:rPr>
          <w:rFonts w:hint="eastAsia"/>
          <w:sz w:val="22"/>
        </w:rPr>
        <w:t>现行有效的</w:t>
      </w:r>
      <w:r>
        <w:rPr>
          <w:sz w:val="22"/>
        </w:rPr>
        <w:t>《重庆江北国际机场控制区刀具管理规定</w:t>
      </w:r>
      <w:r>
        <w:rPr>
          <w:rFonts w:hint="eastAsia"/>
          <w:sz w:val="22"/>
        </w:rPr>
        <w:t>》《重庆江北国际机场控制区限制物品管理规定》和《航站楼控制区限制物品及刀具管理规定》要求，开展航站楼控制区刀具和限制物品各项管理工作：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1）认真落实刀具及限制物品进入、退出控制区相关规定。同一单位东、西航站区限制物品、刀具须分开管理，严禁东、西航站区混用。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2）指派专人对控制区内的刀具及限制物品进行管理，并制定严格的编号登记管理制度，建立管理台帐。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4）每日对刀具进行清查核实，填写当日使用台帐并存档。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5）指定专人，每周开展一次控制区刀具及限制物品自查，并建立自查台帐。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6）使用过程中损坏的刀具及限制物品不得随意丢弃，如有损坏须报告航站楼管理部，并到机场相关部门进行备案。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7）刀具及限制物品在使用过程中丢失，乙方不得瞒报、谎报，须立即以书面形式报告航站楼管理部，并到机场相关部门进行备案。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8）刀具及限制物品仅供本单位使用，不得转借。</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9）刀具及限制物品仅供生产使用，不得利用刀具及限制物品打架斗殴，不得使用刀具及限制物品实施任何危害空防安全的行为。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10）认真开展控制区刀具及限制物品相关从业人员背景调查工作。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11）制定刀具及限制物品使用管理规定，并定期对相关从业人员进行培训。</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7）严格按照《重庆江北国际机场安全管理标准》和《航站楼</w:t>
      </w:r>
      <w:r>
        <w:rPr>
          <w:rFonts w:hint="eastAsia"/>
          <w:sz w:val="22"/>
        </w:rPr>
        <w:t>门禁系统管理规定》要求，遵守隔非门禁、非隔非门禁、行李转盘隔断等空防设施的使用规定，做好本单位使用区域（房屋、场所）空防安全管理，确保责任区域内空防安全设施、物理隔断、墙体完好有效。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1）对员工进行空防安全意识及门禁权限使用规定等培训，严格控制员工申办门禁通行权限及区域的范围，禁止超范围、超区域申办。</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2）做好员工门禁使用的日常安全管理，及时注销辞职、调岗、门禁卡遗失员工的门禁使用权限。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4）工作人员发现门禁门等空防设施故障或损坏时，应立即报告航站楼管理部运行控制中心（TOCC），并保护现场直至主管部门人员或维修人员到场后方可离开，监护期间应阻止无通行权限人员通行。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5）非疏散逃生情况下，禁止启用通往不同权限控制区域的疏散逃生门（设有门禁并允许通行的除外）。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8）发现</w:t>
      </w:r>
      <w:r>
        <w:rPr>
          <w:rFonts w:hint="eastAsia"/>
          <w:sz w:val="22"/>
        </w:rPr>
        <w:t>无主行李、</w:t>
      </w:r>
      <w:r>
        <w:rPr>
          <w:sz w:val="22"/>
        </w:rPr>
        <w:t>可疑物品、可疑人员</w:t>
      </w:r>
      <w:r>
        <w:rPr>
          <w:rFonts w:hint="eastAsia"/>
          <w:sz w:val="22"/>
        </w:rPr>
        <w:t>时应</w:t>
      </w:r>
      <w:r>
        <w:rPr>
          <w:sz w:val="22"/>
        </w:rPr>
        <w:t>及时报警，并做好现场监护。</w:t>
      </w:r>
      <w:r>
        <w:rPr>
          <w:rFonts w:hint="eastAsia"/>
          <w:sz w:val="22"/>
        </w:rPr>
        <w:t>发现有人从隔离区外向隔离区内抛掷物品时，应立即制止、上报航站楼管理部运行控制中心（TOCC），并留住抛物人员。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2.消防安全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）按《机关、团体、企业、事业单位消防安全管理规定》（公安部61号令）第三章及第八章要求，建立健全各项消防安全管理制度、各重点岗位保障消防安全操作规程及各类消防安全管理台账档案。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（3）各岗位严格遵守各项消防安全管理制度和岗位操作规程，发现火情等不正常事件时，及时报告有关部门，做好先期处置。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（12）工程施工或房屋（场所）租赁、业务外包等，须签订消防安全责任书或合同中明确相关消防安全责任和有关限制及监管措施。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（13）积极配合甲方开展航站楼安全巡查检查、消防设施维保、功能检测等工作，主动配合消防控制室人员接处警等工作。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（14）严格执行航站楼工作人员准入制度，经航站楼管理部消防理论和消防实操考核合格后方可上岗，航站楼日常检查过程中，发现违反《航站楼员工记分管理办法》规定的，按其条款进行准入扣分处理。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15）电气、燃气线路、用电、用火、用气器具、钢瓶等涉及消防安全的设施应符合安全技术规范和安全管理制度要求，燃气、电气应定期维护保养。严禁私拉乱接、擅自改造、增加用电、用气负荷，禁止违规使用大</w:t>
      </w:r>
      <w:r>
        <w:rPr>
          <w:sz w:val="22"/>
        </w:rPr>
        <w:t>功率用电设备</w:t>
      </w:r>
      <w:r>
        <w:rPr>
          <w:rFonts w:hint="eastAsia"/>
          <w:sz w:val="22"/>
        </w:rPr>
        <w:t>，禁止在变配电箱等用电设备周围堆放易燃可燃等杂物，禁止储存化学危险物品，下班或无人值守时必须关闭相关水、电、气。</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（17）按规定履行大功率用电设备新增、易燃易爆危险品等申报手续。易燃易爆危险品进入航站楼须严格控制当日用量，并安排专人监管，每日须将未使用完的易燃易爆危险品带出航站楼。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（18）加强责任区域吸烟管理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1）禁止员工在航站楼内吸烟（吸烟室除外），对重点吸烟员工进行重点管理。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2）积极配合监管部门开展吸烟管理工作。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3）员工发现违章吸烟行为及时制止，如对方拒不配合应向航站楼运控中心（TOCC）报告或向公安报警。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4）监督指导合约单位开展吸烟管理工作。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（19）</w:t>
      </w:r>
      <w:r>
        <w:rPr>
          <w:sz w:val="22"/>
        </w:rPr>
        <w:t>确定需要存放易燃易爆品及违禁品的房间，</w:t>
      </w:r>
      <w:r>
        <w:rPr>
          <w:rFonts w:hint="eastAsia"/>
          <w:sz w:val="22"/>
        </w:rPr>
        <w:t>需</w:t>
      </w:r>
      <w:r>
        <w:rPr>
          <w:sz w:val="22"/>
        </w:rPr>
        <w:t>将存放物资及房间信息上报</w:t>
      </w:r>
      <w:r>
        <w:rPr>
          <w:rFonts w:hint="eastAsia"/>
          <w:sz w:val="22"/>
        </w:rPr>
        <w:t>机场防火委员会和航站楼管理部，审核通过后方可存放。</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（20）航站楼内过夜用房管理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2）必须建立严格管理制度并张贴上墙。</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w:t>
      </w:r>
      <w:r>
        <w:rPr>
          <w:rFonts w:hint="eastAsia"/>
          <w:sz w:val="22"/>
        </w:rPr>
        <w:t>1）电瓶车安全管理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2）电瓶车在楼内充电期间，乙方应安排专人进行监护，监护人应具备应急处置能力。</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3.治安安全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（1）制定和完善本单位的各项治安保卫工作制度，落实各项治安防范措施。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 xml:space="preserve">（2）预防和制止单位发生各种违法犯罪行为，调解单位内部治安纠纷，维护单位正常秩序。 </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（3）加强治安信息管理工作，及时向公安机关报告发生在本单位的刑事案件、治安案件、治安灾害事故和不安定事端。</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（4）保护刑事案件、治安案件和治安灾害事故现场，抢救受伤人员和物资，协助公安机关做好案件侦查、事故处理等工作。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（5）组织开展员工法治教育，定期对员工思想动态进行调查。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（6）严格按照《中华人民共和国反恐怖主义法》开展各项反恐怖主义工作，严格按照重庆市公安局机场分局、</w:t>
      </w:r>
      <w:r>
        <w:rPr>
          <w:rFonts w:hint="eastAsia"/>
          <w:sz w:val="22"/>
          <w:lang w:eastAsia="zh-CN"/>
        </w:rPr>
        <w:t>重庆江北国际机场有限公司</w:t>
      </w:r>
      <w:r>
        <w:rPr>
          <w:rFonts w:hint="eastAsia"/>
          <w:sz w:val="22"/>
        </w:rPr>
        <w:t>及上级部门反恐工作要求开展员工无主行李识别等反恐知识培训教育。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（7）严格按照重庆市公安局机场分局、</w:t>
      </w:r>
      <w:r>
        <w:rPr>
          <w:rFonts w:hint="eastAsia"/>
          <w:sz w:val="22"/>
          <w:lang w:eastAsia="zh-CN"/>
        </w:rPr>
        <w:t>重庆江北国际机场有限公司</w:t>
      </w:r>
      <w:r>
        <w:rPr>
          <w:rFonts w:hint="eastAsia"/>
          <w:sz w:val="22"/>
        </w:rPr>
        <w:t>及上级部门要求，扎实做好禁毒、“扫黑除恶”、“扫黄打非”相关知识教育培训。</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（8）法律、法规规定的其他治安保卫任务。</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4.旅客意外伤害</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（1）乙方提供的服务及设施设备必须满足国家、行业相关安全要求，并严格按照</w:t>
      </w:r>
      <w:r>
        <w:rPr>
          <w:rFonts w:hint="eastAsia"/>
          <w:sz w:val="22"/>
          <w:lang w:eastAsia="zh-CN"/>
        </w:rPr>
        <w:t>重庆江北国际机场有限公司</w:t>
      </w:r>
      <w:r>
        <w:rPr>
          <w:rFonts w:hint="eastAsia"/>
          <w:sz w:val="22"/>
        </w:rPr>
        <w:t>《旅客意外事件及特殊人员帮扶救助管理办法》渝机场司发〔2016〕114号相关条款执行。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（2）发现意外伤害事件及时报告医救中心、航站楼运控中心（TOCC）。</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（3）及时对意外伤害旅客进行现场救助，送医，了解伤情，后期处理及赔付。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（5）配合开展旅客意外伤害事件调查工作。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5.员工安全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（1）乙方应根据国家和行业要求，制定员工安全操作规程。</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（2）负责对员工操作技能和日常工作行为进行岗前培训和日常安全教育。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（3）禁止员工违章作业、冒险作业。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（4）对本单位员工的行为安全及造成后果负责。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（5）负责对本单位实习、招录、供货及施工人员与公安机关进行人员信息审查，并建立人员信息审查工作台帐。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6.施工安全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（1）严格遵守《航站楼施工管理规定》《航站楼高处作业管理规定》《航站楼马道管理制度》等相关管理规定，如有违反规定的行为，按照相关规定条款进行处罚。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（2）在航站楼进行维护维修作业须向航站楼管理部申报，准备相关申报材料，取得作业凭证后方可作业。严禁未申报擅自作业、超出申报范围作业等违规行为。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（3）在航站楼进行维护维修作业应严格按照航站楼管理部开具的作业通知单上的时间段进行，作业前后电话通知航站楼TOCC和消防监控室。</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（4）维护维修作业过程中，应保持现场的环境卫生，作业产生的建筑垃圾或其他物品禁止遗留在作业现场。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（5）涉及动火、动焊的维修作业应到甲方消防护卫部开具《动火证》，并交由航站楼管理部备案。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（6）乙方应对施工人员的临时通行证进行严格管理，禁止发生证件丢失、冒用或过期使用等行为。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（7）特种人员作业必须具备相应作业资质（焊工需具备焊工证，电工需具备电工证，高空作业人员需具备高空作业证）。</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（8）涉及高空作业的，应做好现场隔离防范措施，作业前电话通知甲方航站楼管理部（工程管理部、TOCC），作业现场须配备一名现场监管人。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（9）乙方应加强对施工人员的安全教育。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（10）乙方拆除自行添置的设施设备，应向航站楼管理部提出申请，申请中应明确拆除范围、时间和相关设施保护措施，并确定联系人。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7.其他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（1）重庆江北国际机场发生应急抢险情况时，乙方必须无条件服从甲方的应急抢险指挥和相关人员、物资、设施设备的调配，并参加应急抢险活动。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（2）其它涉及场所安全管理方面的工作。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三、违约罚则</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（一）员工违约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员工有违反安全管理要求行为的，根据《航站楼员工记分管理办法》进行准入扣分。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（二）单位违约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1.因乙方原因造成经济损失的，甲方有权要求乙方照价赔偿或等额赔偿。</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2.甲方有权将乙方安全违法、违章行为或重大安全隐患上报公安机关。</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3.乙方有下列情形之一的，甲方有权对乙方实行2</w:t>
      </w:r>
      <w:r>
        <w:rPr>
          <w:sz w:val="22"/>
        </w:rPr>
        <w:t>00</w:t>
      </w:r>
      <w:r>
        <w:rPr>
          <w:rFonts w:hint="eastAsia"/>
          <w:sz w:val="22"/>
        </w:rPr>
        <w:t>－</w:t>
      </w:r>
      <w:r>
        <w:rPr>
          <w:sz w:val="22"/>
        </w:rPr>
        <w:t>1000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甲方或上级机构检查发现的隐患和问题，限期拒不改正或存在多次违反的。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（2）因乙方原因引发误报警或不正常事件，对航站楼安全造成一定影响的。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（3）单位或员工存在不配合甲方（或甲方委托单位）正常的安全管理工作，情节较严重的。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（4）不认真履行安全管理职责，违反协议中空防安全第</w:t>
      </w:r>
      <w:r>
        <w:rPr>
          <w:sz w:val="22"/>
        </w:rPr>
        <w:t>（2）</w:t>
      </w:r>
      <w:r>
        <w:rPr>
          <w:rFonts w:hint="eastAsia"/>
          <w:sz w:val="22"/>
        </w:rPr>
        <w:t>-（8）</w:t>
      </w:r>
      <w:r>
        <w:rPr>
          <w:sz w:val="22"/>
        </w:rPr>
        <w:t>项、消防安全第（1）-（</w:t>
      </w:r>
      <w:r>
        <w:rPr>
          <w:rFonts w:hint="eastAsia"/>
          <w:sz w:val="22"/>
        </w:rPr>
        <w:t>21</w:t>
      </w:r>
      <w:r>
        <w:rPr>
          <w:sz w:val="22"/>
        </w:rPr>
        <w:t>）项、治安安全第（1）-（6）项、旅客意外伤害第（1）-（5）项</w:t>
      </w:r>
      <w:r>
        <w:rPr>
          <w:rFonts w:hint="eastAsia"/>
          <w:sz w:val="22"/>
        </w:rPr>
        <w:t>、员工安全</w:t>
      </w:r>
      <w:r>
        <w:rPr>
          <w:sz w:val="22"/>
        </w:rPr>
        <w:t>第（1）-（5）项</w:t>
      </w:r>
      <w:r>
        <w:rPr>
          <w:rFonts w:hint="eastAsia"/>
          <w:sz w:val="22"/>
        </w:rPr>
        <w:t>，造成一定安全隐患或影响的。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（5）违反协议第二条（二）乙方责任第7点“其他”项的，情节轻微的安全违章行为。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4.乙方有下列情形之一的，甲方有权对乙方实行</w:t>
      </w:r>
      <w:r>
        <w:rPr>
          <w:sz w:val="22"/>
        </w:rPr>
        <w:t>1000</w:t>
      </w:r>
      <w:r>
        <w:rPr>
          <w:rFonts w:hint="eastAsia"/>
          <w:sz w:val="22"/>
        </w:rPr>
        <w:t>－3</w:t>
      </w:r>
      <w:r>
        <w:rPr>
          <w:sz w:val="22"/>
        </w:rPr>
        <w:t>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）场所存在严重安全隐患，经甲方或上级机构责令限期改正，但期满无正当理由拒绝改正的。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（2）乙方原因引发误报警或不正常事件，对航站楼安全造成较大影响的。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（3）不认真履行安全管理职责，违反协议中空防安全第</w:t>
      </w:r>
      <w:r>
        <w:rPr>
          <w:sz w:val="22"/>
        </w:rPr>
        <w:t>（</w:t>
      </w:r>
      <w:r>
        <w:rPr>
          <w:rFonts w:hint="eastAsia"/>
          <w:sz w:val="22"/>
        </w:rPr>
        <w:t>1</w:t>
      </w:r>
      <w:r>
        <w:rPr>
          <w:sz w:val="22"/>
        </w:rPr>
        <w:t>）</w:t>
      </w:r>
      <w:r>
        <w:rPr>
          <w:rFonts w:hint="eastAsia"/>
          <w:sz w:val="22"/>
        </w:rPr>
        <w:t>、（8）</w:t>
      </w:r>
      <w:r>
        <w:rPr>
          <w:sz w:val="22"/>
        </w:rPr>
        <w:t>项</w:t>
      </w:r>
      <w:r>
        <w:rPr>
          <w:rFonts w:hint="eastAsia"/>
          <w:sz w:val="22"/>
        </w:rPr>
        <w:t>，</w:t>
      </w:r>
      <w:r>
        <w:rPr>
          <w:sz w:val="22"/>
        </w:rPr>
        <w:t>消防安全第（1）-（</w:t>
      </w:r>
      <w:r>
        <w:rPr>
          <w:rFonts w:hint="eastAsia"/>
          <w:sz w:val="22"/>
        </w:rPr>
        <w:t>21</w:t>
      </w:r>
      <w:r>
        <w:rPr>
          <w:sz w:val="22"/>
        </w:rPr>
        <w:t>）项</w:t>
      </w:r>
      <w:r>
        <w:rPr>
          <w:rFonts w:hint="eastAsia"/>
          <w:sz w:val="22"/>
        </w:rPr>
        <w:t>，造成一定损失或较大影响的。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（4）将限制物品违章带入或存放在场所内，违反协议中空防安全第</w:t>
      </w:r>
      <w:r>
        <w:rPr>
          <w:sz w:val="22"/>
        </w:rPr>
        <w:t>（</w:t>
      </w:r>
      <w:r>
        <w:rPr>
          <w:rFonts w:hint="eastAsia"/>
          <w:sz w:val="22"/>
        </w:rPr>
        <w:t>6</w:t>
      </w:r>
      <w:r>
        <w:rPr>
          <w:sz w:val="22"/>
        </w:rPr>
        <w:t>）项</w:t>
      </w:r>
      <w:r>
        <w:rPr>
          <w:rFonts w:hint="eastAsia"/>
          <w:sz w:val="22"/>
        </w:rPr>
        <w:t>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（5）第二次违反本协议相关内容，受到违约处罚的。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（6）违反协议第二条（二）乙方责任第7点“其他”中第（1）、（2）项的，情节较严重的安全违章行为。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5.乙方有下列情形之一的，甲方有权对乙方实行3</w:t>
      </w:r>
      <w:r>
        <w:rPr>
          <w:sz w:val="22"/>
        </w:rPr>
        <w:t>000—</w:t>
      </w:r>
      <w:r>
        <w:rPr>
          <w:rFonts w:hint="eastAsia"/>
          <w:sz w:val="22"/>
        </w:rPr>
        <w:t>3</w:t>
      </w:r>
      <w:r>
        <w:rPr>
          <w:sz w:val="22"/>
        </w:rPr>
        <w:t>0000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）乙方原因发生安全责任事故的。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w:t>
      </w:r>
      <w:r>
        <w:rPr>
          <w:rFonts w:hint="eastAsia"/>
          <w:sz w:val="22"/>
        </w:rPr>
        <w:t>）乙方原因引发误报警或不正常事件，对航站楼安全造成严重影响的。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（3）乙方故意破坏安全设施、设备、器材及标识、标牌的。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（4）不认真履行安全管理职责，违反协议相关内容，造成严重影响或恶劣影响的。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（5）多次违反本协议相关内容，受到违约处罚的。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（6）违反协议第二条（二）乙方责任第7点“其他”中第（1）、（2）项的，情节特别严重的安全违章行为。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四、其他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（二）本协议作为《重庆江北国际机场</w:t>
      </w:r>
      <w:r>
        <w:rPr>
          <w:rFonts w:hint="eastAsia"/>
          <w:sz w:val="22"/>
          <w:lang w:eastAsia="zh-CN"/>
        </w:rPr>
        <w:t>航站楼消防备品备件框架协议供应商采购</w:t>
      </w:r>
      <w:r>
        <w:rPr>
          <w:rFonts w:hint="eastAsia"/>
          <w:sz w:val="22"/>
        </w:rPr>
        <w:t>合同》的附件，与其一并执行，并具有同等法律效力。</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五、联系方式</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公安机场分局指挥中心：67150110</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机场专职消防队（机场火警台）：67150119</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机场医救中心：67150120</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航站楼管理部安防管理部：67152982</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航站楼运控中心（TOCC）: 67153555（东区）、67156111（西区）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航站楼管理部工程管理部：67152767(东区）、88869132（西区）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公安机场分局消防处：67152275</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公安机场分局空防科：67153188</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消防护卫部防火部：88869052</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安全检查站：67155269</w:t>
      </w:r>
    </w:p>
    <w:p>
      <w:pPr>
        <w:keepNext w:val="0"/>
        <w:keepLines w:val="0"/>
        <w:pageBreakBefore w:val="0"/>
        <w:kinsoku/>
        <w:wordWrap/>
        <w:overflowPunct/>
        <w:topLinePunct w:val="0"/>
        <w:autoSpaceDE/>
        <w:autoSpaceDN/>
        <w:bidi w:val="0"/>
        <w:adjustRightInd/>
        <w:snapToGrid/>
        <w:spacing w:before="120" w:line="360" w:lineRule="auto"/>
        <w:ind w:firstLine="0" w:firstLineChars="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甲方：</w:t>
      </w:r>
      <w:r>
        <w:rPr>
          <w:rFonts w:hint="eastAsia"/>
          <w:sz w:val="22"/>
          <w:lang w:eastAsia="zh-CN"/>
        </w:rPr>
        <w:t>重庆江北国际机场有限公司</w:t>
      </w:r>
      <w:r>
        <w:rPr>
          <w:rFonts w:hint="eastAsia"/>
          <w:sz w:val="22"/>
        </w:rPr>
        <w:t xml:space="preserve">           乙方：</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法定代表人或委托代理人：             法定代表人或委托代理人：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联系人：                             联系人：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联系电话：                           联系电话：</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3740" w:firstLineChars="1700"/>
        <w:textAlignment w:val="auto"/>
        <w:rPr>
          <w:sz w:val="22"/>
        </w:rPr>
      </w:pPr>
      <w:r>
        <w:rPr>
          <w:rFonts w:hint="eastAsia"/>
          <w:sz w:val="22"/>
        </w:rPr>
        <w:t>签订日期：    年  月  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 xml:space="preserve">                             签订地点：重庆江北国际机场</w:t>
      </w:r>
    </w:p>
    <w:p>
      <w:pPr>
        <w:spacing w:before="120"/>
        <w:rPr>
          <w:sz w:val="22"/>
        </w:rPr>
      </w:pPr>
    </w:p>
    <w:p>
      <w:pPr>
        <w:widowControl/>
        <w:adjustRightInd/>
        <w:spacing w:beforeLines="0" w:line="240" w:lineRule="auto"/>
        <w:ind w:firstLine="0" w:firstLineChars="0"/>
        <w:jc w:val="left"/>
        <w:textAlignment w:val="auto"/>
        <w:rPr>
          <w:b/>
          <w:sz w:val="28"/>
          <w:szCs w:val="32"/>
        </w:rPr>
      </w:pPr>
    </w:p>
    <w:p>
      <w:pPr>
        <w:widowControl/>
        <w:adjustRightInd/>
        <w:spacing w:beforeLines="0" w:line="240" w:lineRule="auto"/>
        <w:ind w:firstLine="0" w:firstLineChars="0"/>
        <w:jc w:val="left"/>
        <w:textAlignment w:val="auto"/>
        <w:rPr>
          <w:b/>
          <w:sz w:val="28"/>
          <w:szCs w:val="32"/>
        </w:rPr>
        <w:sectPr>
          <w:footerReference r:id="rId5" w:type="first"/>
          <w:pgSz w:w="11906" w:h="16838"/>
          <w:pgMar w:top="1134" w:right="1701" w:bottom="1701" w:left="1134" w:header="851" w:footer="851" w:gutter="0"/>
          <w:pgNumType w:fmt="decimal"/>
          <w:cols w:space="720" w:num="1"/>
          <w:titlePg/>
          <w:docGrid w:linePitch="326" w:charSpace="0"/>
        </w:sectPr>
      </w:pPr>
    </w:p>
    <w:p>
      <w:pPr>
        <w:widowControl/>
        <w:adjustRightInd/>
        <w:spacing w:beforeLines="0" w:line="240" w:lineRule="auto"/>
        <w:ind w:firstLine="0" w:firstLineChars="0"/>
        <w:jc w:val="left"/>
        <w:textAlignment w:val="auto"/>
        <w:rPr>
          <w:rFonts w:hint="eastAsia"/>
          <w:b/>
          <w:sz w:val="28"/>
          <w:szCs w:val="32"/>
          <w:lang w:val="en-US" w:eastAsia="zh-CN"/>
        </w:rPr>
      </w:pPr>
      <w:r>
        <w:rPr>
          <w:rFonts w:hint="eastAsia"/>
          <w:b/>
          <w:sz w:val="28"/>
          <w:szCs w:val="32"/>
        </w:rPr>
        <w:t>附件</w:t>
      </w:r>
      <w:r>
        <w:rPr>
          <w:rFonts w:hint="eastAsia"/>
          <w:b/>
          <w:sz w:val="28"/>
          <w:szCs w:val="32"/>
          <w:lang w:val="en-US" w:eastAsia="zh-CN"/>
        </w:rPr>
        <w:t>二</w:t>
      </w:r>
    </w:p>
    <w:p>
      <w:pPr>
        <w:widowControl/>
        <w:adjustRightInd/>
        <w:spacing w:beforeLines="0" w:line="240" w:lineRule="auto"/>
        <w:ind w:firstLine="0" w:firstLineChars="0"/>
        <w:jc w:val="center"/>
        <w:textAlignment w:val="auto"/>
        <w:rPr>
          <w:szCs w:val="28"/>
        </w:rPr>
      </w:pPr>
      <w:r>
        <w:rPr>
          <w:rFonts w:hint="eastAsia"/>
          <w:b/>
          <w:sz w:val="28"/>
          <w:szCs w:val="32"/>
          <w:lang w:eastAsia="zh-CN"/>
        </w:rPr>
        <w:t>航站楼消防备品备件</w:t>
      </w:r>
      <w:r>
        <w:rPr>
          <w:rFonts w:hint="eastAsia"/>
          <w:b/>
          <w:sz w:val="28"/>
          <w:szCs w:val="32"/>
        </w:rPr>
        <w:t>报价清单（空表）</w:t>
      </w:r>
    </w:p>
    <w:p>
      <w:pPr>
        <w:widowControl/>
        <w:adjustRightInd/>
        <w:spacing w:beforeLines="0" w:line="240" w:lineRule="auto"/>
        <w:ind w:firstLine="0" w:firstLineChars="0"/>
        <w:jc w:val="left"/>
        <w:textAlignment w:val="auto"/>
        <w:rPr>
          <w:sz w:val="22"/>
        </w:rPr>
      </w:pPr>
    </w:p>
    <w:tbl>
      <w:tblPr>
        <w:tblStyle w:val="16"/>
        <w:tblW w:w="14130" w:type="dxa"/>
        <w:tblInd w:w="0" w:type="dxa"/>
        <w:tblLayout w:type="fixed"/>
        <w:tblCellMar>
          <w:top w:w="0" w:type="dxa"/>
          <w:left w:w="108" w:type="dxa"/>
          <w:bottom w:w="0" w:type="dxa"/>
          <w:right w:w="108" w:type="dxa"/>
        </w:tblCellMar>
      </w:tblPr>
      <w:tblGrid>
        <w:gridCol w:w="625"/>
        <w:gridCol w:w="1902"/>
        <w:gridCol w:w="1886"/>
        <w:gridCol w:w="2319"/>
        <w:gridCol w:w="1248"/>
        <w:gridCol w:w="1039"/>
        <w:gridCol w:w="1854"/>
        <w:gridCol w:w="1488"/>
        <w:gridCol w:w="1769"/>
      </w:tblGrid>
      <w:tr>
        <w:tblPrEx>
          <w:tblCellMar>
            <w:top w:w="0" w:type="dxa"/>
            <w:left w:w="108" w:type="dxa"/>
            <w:bottom w:w="0" w:type="dxa"/>
            <w:right w:w="108" w:type="dxa"/>
          </w:tblCellMar>
        </w:tblPrEx>
        <w:trPr>
          <w:trHeight w:val="439" w:hRule="atLeast"/>
        </w:trPr>
        <w:tc>
          <w:tcPr>
            <w:tcW w:w="625"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序号</w:t>
            </w:r>
          </w:p>
        </w:tc>
        <w:tc>
          <w:tcPr>
            <w:tcW w:w="1902"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名称</w:t>
            </w:r>
          </w:p>
        </w:tc>
        <w:tc>
          <w:tcPr>
            <w:tcW w:w="1886"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规格/型号</w:t>
            </w:r>
          </w:p>
        </w:tc>
        <w:tc>
          <w:tcPr>
            <w:tcW w:w="2319"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制造商</w:t>
            </w:r>
          </w:p>
        </w:tc>
        <w:tc>
          <w:tcPr>
            <w:tcW w:w="1248"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hint="eastAsia" w:ascii="宋体" w:hAnsi="宋体" w:eastAsia="宋体" w:cs="宋体"/>
                <w:b/>
                <w:bCs/>
                <w:szCs w:val="24"/>
                <w:lang w:eastAsia="zh-CN"/>
              </w:rPr>
            </w:pPr>
            <w:r>
              <w:rPr>
                <w:rFonts w:hint="eastAsia" w:ascii="宋体" w:hAnsi="宋体" w:cs="宋体"/>
                <w:b/>
                <w:bCs/>
                <w:szCs w:val="24"/>
                <w:lang w:eastAsia="zh-CN"/>
              </w:rPr>
              <w:t>是否常用</w:t>
            </w:r>
          </w:p>
        </w:tc>
        <w:tc>
          <w:tcPr>
            <w:tcW w:w="1039"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单位</w:t>
            </w:r>
          </w:p>
        </w:tc>
        <w:tc>
          <w:tcPr>
            <w:tcW w:w="1854"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r>
              <w:rPr>
                <w:rFonts w:hint="eastAsia" w:ascii="宋体" w:hAnsi="宋体" w:cs="宋体"/>
                <w:b/>
                <w:bCs/>
                <w:szCs w:val="24"/>
                <w:lang w:eastAsia="zh-CN"/>
              </w:rPr>
              <w:t>不</w:t>
            </w:r>
            <w:r>
              <w:rPr>
                <w:rFonts w:hint="eastAsia" w:ascii="宋体" w:hAnsi="宋体" w:cs="宋体"/>
                <w:b/>
                <w:bCs/>
                <w:szCs w:val="24"/>
              </w:rPr>
              <w:t>含税单价</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hint="eastAsia" w:ascii="宋体" w:hAnsi="宋体" w:eastAsia="宋体" w:cs="宋体"/>
                <w:b/>
                <w:bCs/>
                <w:szCs w:val="24"/>
                <w:lang w:eastAsia="zh-CN"/>
              </w:rPr>
            </w:pPr>
            <w:r>
              <w:rPr>
                <w:rFonts w:hint="eastAsia" w:ascii="宋体" w:hAnsi="宋体" w:cs="宋体"/>
                <w:b/>
                <w:bCs/>
                <w:szCs w:val="24"/>
                <w:lang w:eastAsia="zh-CN"/>
              </w:rPr>
              <w:t>税率</w:t>
            </w:r>
          </w:p>
        </w:tc>
        <w:tc>
          <w:tcPr>
            <w:tcW w:w="1769"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备注</w:t>
            </w:r>
          </w:p>
        </w:tc>
      </w:tr>
      <w:tr>
        <w:tblPrEx>
          <w:tblCellMar>
            <w:top w:w="0" w:type="dxa"/>
            <w:left w:w="108" w:type="dxa"/>
            <w:bottom w:w="0" w:type="dxa"/>
            <w:right w:w="108" w:type="dxa"/>
          </w:tblCellMar>
        </w:tblPrEx>
        <w:trPr>
          <w:trHeight w:val="439" w:hRule="atLeast"/>
        </w:trPr>
        <w:tc>
          <w:tcPr>
            <w:tcW w:w="625"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w:t>
            </w:r>
          </w:p>
        </w:tc>
        <w:tc>
          <w:tcPr>
            <w:tcW w:w="190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8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31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24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03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54"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76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25"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2</w:t>
            </w:r>
          </w:p>
        </w:tc>
        <w:tc>
          <w:tcPr>
            <w:tcW w:w="190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8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31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24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03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54"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76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25"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3</w:t>
            </w:r>
          </w:p>
        </w:tc>
        <w:tc>
          <w:tcPr>
            <w:tcW w:w="190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8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31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24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03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54"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76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25"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4</w:t>
            </w:r>
          </w:p>
        </w:tc>
        <w:tc>
          <w:tcPr>
            <w:tcW w:w="190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8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31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24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03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54"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76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25"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5</w:t>
            </w:r>
          </w:p>
        </w:tc>
        <w:tc>
          <w:tcPr>
            <w:tcW w:w="190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8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31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24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03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54"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76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25"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6</w:t>
            </w:r>
          </w:p>
        </w:tc>
        <w:tc>
          <w:tcPr>
            <w:tcW w:w="190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8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31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24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03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54"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76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25"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7</w:t>
            </w:r>
          </w:p>
        </w:tc>
        <w:tc>
          <w:tcPr>
            <w:tcW w:w="190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8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31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24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03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54"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76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25"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8</w:t>
            </w:r>
          </w:p>
        </w:tc>
        <w:tc>
          <w:tcPr>
            <w:tcW w:w="190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8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31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24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03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54"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76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25"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9</w:t>
            </w:r>
          </w:p>
        </w:tc>
        <w:tc>
          <w:tcPr>
            <w:tcW w:w="190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8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31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24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03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54"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76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25"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10</w:t>
            </w:r>
          </w:p>
        </w:tc>
        <w:tc>
          <w:tcPr>
            <w:tcW w:w="190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8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31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24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03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54"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76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r>
        <w:tblPrEx>
          <w:tblCellMar>
            <w:top w:w="0" w:type="dxa"/>
            <w:left w:w="108" w:type="dxa"/>
            <w:bottom w:w="0" w:type="dxa"/>
            <w:right w:w="108" w:type="dxa"/>
          </w:tblCellMar>
        </w:tblPrEx>
        <w:trPr>
          <w:trHeight w:val="439" w:hRule="atLeast"/>
        </w:trPr>
        <w:tc>
          <w:tcPr>
            <w:tcW w:w="625"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11</w:t>
            </w:r>
          </w:p>
        </w:tc>
        <w:tc>
          <w:tcPr>
            <w:tcW w:w="190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8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31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24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03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54"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76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r>
        <w:tblPrEx>
          <w:tblCellMar>
            <w:top w:w="0" w:type="dxa"/>
            <w:left w:w="108" w:type="dxa"/>
            <w:bottom w:w="0" w:type="dxa"/>
            <w:right w:w="108" w:type="dxa"/>
          </w:tblCellMar>
        </w:tblPrEx>
        <w:trPr>
          <w:trHeight w:val="439" w:hRule="atLeast"/>
        </w:trPr>
        <w:tc>
          <w:tcPr>
            <w:tcW w:w="625"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12</w:t>
            </w:r>
          </w:p>
        </w:tc>
        <w:tc>
          <w:tcPr>
            <w:tcW w:w="190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8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31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24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03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854"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76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bl>
    <w:p>
      <w:pPr>
        <w:widowControl/>
        <w:adjustRightInd/>
        <w:spacing w:beforeLines="0" w:line="240" w:lineRule="auto"/>
        <w:ind w:firstLine="0" w:firstLineChars="0"/>
        <w:jc w:val="left"/>
        <w:textAlignment w:val="auto"/>
        <w:rPr>
          <w:sz w:val="22"/>
        </w:rPr>
      </w:pPr>
    </w:p>
    <w:p>
      <w:pPr>
        <w:widowControl/>
        <w:adjustRightInd/>
        <w:spacing w:beforeLines="0" w:line="240" w:lineRule="auto"/>
        <w:ind w:firstLine="440"/>
        <w:jc w:val="left"/>
        <w:textAlignment w:val="auto"/>
        <w:rPr>
          <w:rFonts w:hint="eastAsia" w:eastAsia="宋体"/>
          <w:sz w:val="22"/>
          <w:lang w:eastAsia="zh-CN"/>
        </w:rPr>
        <w:sectPr>
          <w:pgSz w:w="16838" w:h="11906" w:orient="landscape"/>
          <w:pgMar w:top="1701" w:right="1701" w:bottom="1134" w:left="1134" w:header="851" w:footer="851" w:gutter="0"/>
          <w:pgNumType w:fmt="decimal"/>
          <w:cols w:space="720" w:num="1"/>
          <w:titlePg/>
          <w:docGrid w:linePitch="326" w:charSpace="0"/>
        </w:sectPr>
      </w:pPr>
      <w:r>
        <w:rPr>
          <w:rFonts w:hint="eastAsia"/>
          <w:sz w:val="22"/>
        </w:rPr>
        <w:t>说明：表中</w:t>
      </w:r>
      <w:r>
        <w:rPr>
          <w:rFonts w:hint="eastAsia"/>
          <w:sz w:val="22"/>
          <w:lang w:eastAsia="zh-CN"/>
        </w:rPr>
        <w:t>不</w:t>
      </w:r>
      <w:r>
        <w:rPr>
          <w:rFonts w:hint="eastAsia"/>
          <w:sz w:val="22"/>
        </w:rPr>
        <w:t>含税单价包含</w:t>
      </w:r>
      <w:r>
        <w:rPr>
          <w:rFonts w:hint="eastAsia"/>
          <w:sz w:val="22"/>
          <w:lang w:eastAsia="zh-CN"/>
        </w:rPr>
        <w:t>产品、调试</w:t>
      </w:r>
      <w:r>
        <w:rPr>
          <w:rFonts w:hint="eastAsia"/>
          <w:sz w:val="22"/>
        </w:rPr>
        <w:t>、运输、</w:t>
      </w:r>
      <w:r>
        <w:rPr>
          <w:sz w:val="22"/>
        </w:rPr>
        <w:t>人工</w:t>
      </w:r>
      <w:r>
        <w:rPr>
          <w:rFonts w:hint="eastAsia"/>
          <w:sz w:val="22"/>
        </w:rPr>
        <w:t>等</w:t>
      </w:r>
      <w:r>
        <w:rPr>
          <w:sz w:val="22"/>
        </w:rPr>
        <w:t>所有</w:t>
      </w:r>
      <w:r>
        <w:rPr>
          <w:rFonts w:hint="eastAsia"/>
          <w:sz w:val="22"/>
        </w:rPr>
        <w:t>费用</w:t>
      </w:r>
      <w:r>
        <w:rPr>
          <w:rFonts w:hint="eastAsia"/>
          <w:sz w:val="22"/>
          <w:lang w:eastAsia="zh-CN"/>
        </w:rPr>
        <w:t>。</w:t>
      </w: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1"/>
          <w:szCs w:val="21"/>
          <w:lang w:val="zh-CN" w:eastAsia="en-US"/>
        </w:rPr>
      </w:sdtEndPr>
      <w:sdtContent>
        <w:p>
          <w:pPr>
            <w:pStyle w:val="35"/>
            <w:jc w:val="center"/>
            <w:rPr>
              <w:rFonts w:ascii="仿宋_GB2312" w:eastAsia="仿宋_GB2312"/>
              <w:color w:val="auto"/>
              <w:sz w:val="21"/>
              <w:szCs w:val="21"/>
            </w:rPr>
          </w:pPr>
        </w:p>
        <w:p>
          <w:pPr>
            <w:pStyle w:val="12"/>
            <w:tabs>
              <w:tab w:val="right" w:leader="dot" w:pos="9350"/>
            </w:tabs>
          </w:pPr>
        </w:p>
      </w:sdtContent>
    </w:sdt>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重庆江北国际机场有限公司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sectPr>
          <w:footerReference r:id="rId6" w:type="default"/>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b/>
          <w:sz w:val="32"/>
          <w:szCs w:val="32"/>
          <w:lang w:eastAsia="zh-CN"/>
        </w:rPr>
      </w:pPr>
      <w:r>
        <w:rPr>
          <w:rFonts w:hint="eastAsia" w:ascii="仿宋" w:hAnsi="仿宋" w:eastAsia="仿宋"/>
          <w:b/>
          <w:sz w:val="32"/>
          <w:szCs w:val="32"/>
          <w:lang w:eastAsia="zh-CN"/>
        </w:rPr>
        <w:t>分项报价表</w:t>
      </w:r>
    </w:p>
    <w:p>
      <w:pPr>
        <w:jc w:val="left"/>
        <w:rPr>
          <w:rFonts w:hint="eastAsia" w:ascii="仿宋" w:hAnsi="仿宋" w:eastAsia="仿宋"/>
          <w:b/>
          <w:sz w:val="32"/>
          <w:szCs w:val="32"/>
          <w:lang w:eastAsia="zh-CN"/>
        </w:rPr>
      </w:pPr>
      <w:r>
        <w:rPr>
          <w:rFonts w:hint="eastAsia" w:ascii="仿宋" w:hAnsi="仿宋" w:eastAsia="仿宋"/>
          <w:b/>
          <w:sz w:val="32"/>
          <w:szCs w:val="32"/>
          <w:lang w:eastAsia="zh-CN"/>
        </w:rPr>
        <w:t>项目名称：</w:t>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p>
    <w:p>
      <w:pPr>
        <w:spacing w:before="120"/>
        <w:ind w:firstLine="480"/>
        <w:jc w:val="right"/>
        <w:rPr>
          <w:rFonts w:eastAsia="icomoon"/>
          <w:sz w:val="22"/>
        </w:rPr>
      </w:pPr>
      <w:r>
        <w:rPr>
          <w:rFonts w:hint="eastAsia" w:ascii="仿宋" w:hAnsi="仿宋" w:eastAsia="仿宋" w:cs="仿宋"/>
          <w:sz w:val="28"/>
          <w:szCs w:val="28"/>
          <w:lang w:eastAsia="zh-CN"/>
        </w:rPr>
        <w:t>（价格单位：人民币元）</w:t>
      </w:r>
    </w:p>
    <w:tbl>
      <w:tblPr>
        <w:tblStyle w:val="16"/>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955"/>
        <w:gridCol w:w="1769"/>
        <w:gridCol w:w="1241"/>
        <w:gridCol w:w="1487"/>
        <w:gridCol w:w="901"/>
        <w:gridCol w:w="821"/>
        <w:gridCol w:w="2396"/>
        <w:gridCol w:w="1104"/>
        <w:gridCol w:w="1619"/>
        <w:tblGridChange w:id="0">
          <w:tblGrid>
            <w:gridCol w:w="830"/>
            <w:gridCol w:w="1955"/>
            <w:gridCol w:w="1769"/>
            <w:gridCol w:w="149"/>
            <w:gridCol w:w="1092"/>
            <w:gridCol w:w="1487"/>
            <w:gridCol w:w="901"/>
            <w:gridCol w:w="821"/>
            <w:gridCol w:w="2396"/>
            <w:gridCol w:w="1104"/>
            <w:gridCol w:w="161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955"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备品备件名称</w:t>
            </w:r>
          </w:p>
        </w:tc>
        <w:tc>
          <w:tcPr>
            <w:tcW w:w="1769"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规格/型号</w:t>
            </w:r>
          </w:p>
        </w:tc>
        <w:tc>
          <w:tcPr>
            <w:tcW w:w="1241"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制造商</w:t>
            </w:r>
          </w:p>
        </w:tc>
        <w:tc>
          <w:tcPr>
            <w:tcW w:w="1487"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是否常用</w:t>
            </w:r>
          </w:p>
        </w:tc>
        <w:tc>
          <w:tcPr>
            <w:tcW w:w="901"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单位</w:t>
            </w:r>
          </w:p>
        </w:tc>
        <w:tc>
          <w:tcPr>
            <w:tcW w:w="821"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数量</w:t>
            </w:r>
          </w:p>
        </w:tc>
        <w:tc>
          <w:tcPr>
            <w:tcW w:w="2396"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不</w:t>
            </w:r>
            <w:r>
              <w:rPr>
                <w:rFonts w:hint="eastAsia" w:ascii="仿宋" w:hAnsi="仿宋" w:eastAsia="仿宋" w:cs="仿宋"/>
                <w:sz w:val="28"/>
                <w:szCs w:val="28"/>
              </w:rPr>
              <w:t>含税单价</w:t>
            </w:r>
          </w:p>
        </w:tc>
        <w:tc>
          <w:tcPr>
            <w:tcW w:w="1104"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税率</w:t>
            </w:r>
          </w:p>
        </w:tc>
        <w:tc>
          <w:tcPr>
            <w:tcW w:w="1619"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30"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1955"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球阀把手</w:t>
            </w:r>
          </w:p>
        </w:tc>
        <w:tc>
          <w:tcPr>
            <w:tcW w:w="1769" w:type="dxa"/>
          </w:tcPr>
          <w:p>
            <w:pPr>
              <w:spacing w:beforeLines="0" w:line="240" w:lineRule="auto"/>
              <w:ind w:firstLine="0" w:firstLineChars="0"/>
              <w:rPr>
                <w:rFonts w:hint="eastAsia" w:ascii="仿宋" w:hAnsi="仿宋" w:eastAsia="仿宋" w:cs="仿宋"/>
                <w:sz w:val="28"/>
                <w:szCs w:val="28"/>
              </w:rPr>
            </w:pPr>
          </w:p>
        </w:tc>
        <w:tc>
          <w:tcPr>
            <w:tcW w:w="1241" w:type="dxa"/>
          </w:tcPr>
          <w:p>
            <w:pPr>
              <w:spacing w:beforeLines="0" w:line="240" w:lineRule="auto"/>
              <w:ind w:firstLine="0" w:firstLineChars="0"/>
              <w:rPr>
                <w:rFonts w:hint="eastAsia" w:ascii="仿宋" w:hAnsi="仿宋" w:eastAsia="仿宋" w:cs="仿宋"/>
                <w:sz w:val="28"/>
                <w:szCs w:val="28"/>
              </w:rPr>
            </w:pPr>
          </w:p>
        </w:tc>
        <w:tc>
          <w:tcPr>
            <w:tcW w:w="1487" w:type="dxa"/>
          </w:tcPr>
          <w:p>
            <w:pPr>
              <w:spacing w:beforeLines="0" w:line="240" w:lineRule="auto"/>
              <w:ind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是</w:t>
            </w:r>
          </w:p>
        </w:tc>
        <w:tc>
          <w:tcPr>
            <w:tcW w:w="901" w:type="dxa"/>
          </w:tcPr>
          <w:p>
            <w:pPr>
              <w:spacing w:beforeLines="0" w:line="240" w:lineRule="auto"/>
              <w:ind w:firstLine="0" w:firstLineChars="0"/>
              <w:rPr>
                <w:rFonts w:hint="eastAsia" w:ascii="仿宋" w:hAnsi="仿宋" w:eastAsia="仿宋" w:cs="仿宋"/>
                <w:sz w:val="28"/>
                <w:szCs w:val="28"/>
              </w:rPr>
            </w:pPr>
          </w:p>
        </w:tc>
        <w:tc>
          <w:tcPr>
            <w:tcW w:w="821"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2396" w:type="dxa"/>
          </w:tcPr>
          <w:p>
            <w:pPr>
              <w:spacing w:beforeLines="0" w:line="240" w:lineRule="auto"/>
              <w:ind w:firstLine="0" w:firstLineChars="0"/>
              <w:jc w:val="center"/>
              <w:rPr>
                <w:rFonts w:hint="eastAsia" w:ascii="仿宋" w:hAnsi="仿宋" w:eastAsia="仿宋" w:cs="仿宋"/>
                <w:sz w:val="28"/>
                <w:szCs w:val="28"/>
              </w:rPr>
            </w:pPr>
          </w:p>
        </w:tc>
        <w:tc>
          <w:tcPr>
            <w:tcW w:w="1104" w:type="dxa"/>
          </w:tcPr>
          <w:p>
            <w:pPr>
              <w:spacing w:beforeLines="0" w:line="240" w:lineRule="auto"/>
              <w:ind w:firstLine="0" w:firstLineChars="0"/>
              <w:rPr>
                <w:rFonts w:hint="eastAsia" w:ascii="仿宋" w:hAnsi="仿宋" w:eastAsia="仿宋" w:cs="仿宋"/>
                <w:sz w:val="28"/>
                <w:szCs w:val="28"/>
              </w:rPr>
            </w:pPr>
          </w:p>
        </w:tc>
        <w:tc>
          <w:tcPr>
            <w:tcW w:w="1619"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30"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2</w:t>
            </w:r>
          </w:p>
        </w:tc>
        <w:tc>
          <w:tcPr>
            <w:tcW w:w="1955"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手轮</w:t>
            </w:r>
          </w:p>
        </w:tc>
        <w:tc>
          <w:tcPr>
            <w:tcW w:w="1769" w:type="dxa"/>
          </w:tcPr>
          <w:p>
            <w:pPr>
              <w:spacing w:beforeLines="0" w:line="240" w:lineRule="auto"/>
              <w:ind w:firstLine="0" w:firstLineChars="0"/>
              <w:rPr>
                <w:rFonts w:hint="eastAsia" w:ascii="仿宋" w:hAnsi="仿宋" w:eastAsia="仿宋" w:cs="仿宋"/>
                <w:sz w:val="28"/>
                <w:szCs w:val="28"/>
              </w:rPr>
            </w:pPr>
          </w:p>
        </w:tc>
        <w:tc>
          <w:tcPr>
            <w:tcW w:w="1241" w:type="dxa"/>
          </w:tcPr>
          <w:p>
            <w:pPr>
              <w:spacing w:beforeLines="0" w:line="240" w:lineRule="auto"/>
              <w:ind w:firstLine="0" w:firstLineChars="0"/>
              <w:rPr>
                <w:rFonts w:hint="eastAsia" w:ascii="仿宋" w:hAnsi="仿宋" w:eastAsia="仿宋" w:cs="仿宋"/>
                <w:sz w:val="28"/>
                <w:szCs w:val="28"/>
              </w:rPr>
            </w:pPr>
          </w:p>
        </w:tc>
        <w:tc>
          <w:tcPr>
            <w:tcW w:w="1487" w:type="dxa"/>
          </w:tcPr>
          <w:p>
            <w:pPr>
              <w:spacing w:beforeLines="0" w:line="240" w:lineRule="auto"/>
              <w:ind w:firstLine="0" w:firstLineChars="0"/>
              <w:rPr>
                <w:rFonts w:hint="eastAsia" w:ascii="仿宋" w:hAnsi="仿宋" w:eastAsia="仿宋" w:cs="仿宋"/>
                <w:sz w:val="28"/>
                <w:szCs w:val="28"/>
              </w:rPr>
            </w:pPr>
            <w:r>
              <w:rPr>
                <w:rFonts w:hint="eastAsia" w:ascii="仿宋" w:hAnsi="仿宋" w:eastAsia="仿宋" w:cs="仿宋"/>
                <w:sz w:val="28"/>
                <w:szCs w:val="28"/>
                <w:lang w:eastAsia="zh-CN"/>
              </w:rPr>
              <w:t>是</w:t>
            </w:r>
          </w:p>
        </w:tc>
        <w:tc>
          <w:tcPr>
            <w:tcW w:w="901" w:type="dxa"/>
          </w:tcPr>
          <w:p>
            <w:pPr>
              <w:spacing w:beforeLines="0" w:line="240" w:lineRule="auto"/>
              <w:ind w:firstLine="0" w:firstLineChars="0"/>
              <w:rPr>
                <w:rFonts w:hint="eastAsia" w:ascii="仿宋" w:hAnsi="仿宋" w:eastAsia="仿宋" w:cs="仿宋"/>
                <w:sz w:val="28"/>
                <w:szCs w:val="28"/>
              </w:rPr>
            </w:pPr>
          </w:p>
        </w:tc>
        <w:tc>
          <w:tcPr>
            <w:tcW w:w="821"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2396" w:type="dxa"/>
          </w:tcPr>
          <w:p>
            <w:pPr>
              <w:spacing w:beforeLines="0" w:line="240" w:lineRule="auto"/>
              <w:ind w:firstLine="0" w:firstLineChars="0"/>
              <w:jc w:val="center"/>
              <w:rPr>
                <w:rFonts w:hint="eastAsia" w:ascii="仿宋" w:hAnsi="仿宋" w:eastAsia="仿宋" w:cs="仿宋"/>
                <w:sz w:val="28"/>
                <w:szCs w:val="28"/>
              </w:rPr>
            </w:pPr>
          </w:p>
        </w:tc>
        <w:tc>
          <w:tcPr>
            <w:tcW w:w="1104" w:type="dxa"/>
          </w:tcPr>
          <w:p>
            <w:pPr>
              <w:spacing w:beforeLines="0" w:line="240" w:lineRule="auto"/>
              <w:ind w:firstLine="0" w:firstLineChars="0"/>
              <w:rPr>
                <w:rFonts w:hint="eastAsia" w:ascii="仿宋" w:hAnsi="仿宋" w:eastAsia="仿宋" w:cs="仿宋"/>
                <w:sz w:val="28"/>
                <w:szCs w:val="28"/>
              </w:rPr>
            </w:pPr>
          </w:p>
        </w:tc>
        <w:tc>
          <w:tcPr>
            <w:tcW w:w="1619"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955"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rPr>
              <w:t>……</w:t>
            </w:r>
          </w:p>
        </w:tc>
        <w:tc>
          <w:tcPr>
            <w:tcW w:w="1769" w:type="dxa"/>
          </w:tcPr>
          <w:p>
            <w:pPr>
              <w:spacing w:beforeLines="0" w:line="240" w:lineRule="auto"/>
              <w:ind w:firstLine="0" w:firstLineChars="0"/>
              <w:rPr>
                <w:rFonts w:hint="eastAsia" w:ascii="仿宋" w:hAnsi="仿宋" w:eastAsia="仿宋" w:cs="仿宋"/>
                <w:sz w:val="28"/>
                <w:szCs w:val="28"/>
              </w:rPr>
            </w:pPr>
          </w:p>
        </w:tc>
        <w:tc>
          <w:tcPr>
            <w:tcW w:w="1241" w:type="dxa"/>
          </w:tcPr>
          <w:p>
            <w:pPr>
              <w:spacing w:beforeLines="0" w:line="240" w:lineRule="auto"/>
              <w:ind w:firstLine="0" w:firstLineChars="0"/>
              <w:rPr>
                <w:rFonts w:hint="eastAsia" w:ascii="仿宋" w:hAnsi="仿宋" w:eastAsia="仿宋" w:cs="仿宋"/>
                <w:sz w:val="28"/>
                <w:szCs w:val="28"/>
              </w:rPr>
            </w:pPr>
          </w:p>
        </w:tc>
        <w:tc>
          <w:tcPr>
            <w:tcW w:w="1487" w:type="dxa"/>
          </w:tcPr>
          <w:p>
            <w:pPr>
              <w:spacing w:beforeLines="0" w:line="24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w:t>
            </w:r>
          </w:p>
        </w:tc>
        <w:tc>
          <w:tcPr>
            <w:tcW w:w="901" w:type="dxa"/>
          </w:tcPr>
          <w:p>
            <w:pPr>
              <w:spacing w:beforeLines="0" w:line="240" w:lineRule="auto"/>
              <w:ind w:firstLine="0" w:firstLineChars="0"/>
              <w:rPr>
                <w:rFonts w:hint="eastAsia" w:ascii="仿宋" w:hAnsi="仿宋" w:eastAsia="仿宋" w:cs="仿宋"/>
                <w:sz w:val="28"/>
                <w:szCs w:val="28"/>
              </w:rPr>
            </w:pPr>
          </w:p>
        </w:tc>
        <w:tc>
          <w:tcPr>
            <w:tcW w:w="821"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2396" w:type="dxa"/>
          </w:tcPr>
          <w:p>
            <w:pPr>
              <w:spacing w:beforeLines="0" w:line="240" w:lineRule="auto"/>
              <w:ind w:firstLine="0" w:firstLineChars="0"/>
              <w:jc w:val="center"/>
              <w:rPr>
                <w:rFonts w:hint="eastAsia" w:ascii="仿宋" w:hAnsi="仿宋" w:eastAsia="仿宋" w:cs="仿宋"/>
                <w:sz w:val="28"/>
                <w:szCs w:val="28"/>
              </w:rPr>
            </w:pPr>
          </w:p>
        </w:tc>
        <w:tc>
          <w:tcPr>
            <w:tcW w:w="1104" w:type="dxa"/>
          </w:tcPr>
          <w:p>
            <w:pPr>
              <w:spacing w:beforeLines="0" w:line="240" w:lineRule="auto"/>
              <w:ind w:firstLine="0" w:firstLineChars="0"/>
              <w:rPr>
                <w:rFonts w:hint="eastAsia" w:ascii="仿宋" w:hAnsi="仿宋" w:eastAsia="仿宋" w:cs="仿宋"/>
                <w:sz w:val="28"/>
                <w:szCs w:val="28"/>
              </w:rPr>
            </w:pPr>
          </w:p>
        </w:tc>
        <w:tc>
          <w:tcPr>
            <w:tcW w:w="1619"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126</w:t>
            </w:r>
          </w:p>
        </w:tc>
        <w:tc>
          <w:tcPr>
            <w:tcW w:w="1955"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769" w:type="dxa"/>
          </w:tcPr>
          <w:p>
            <w:pPr>
              <w:spacing w:beforeLines="0" w:line="240" w:lineRule="auto"/>
              <w:ind w:firstLine="0" w:firstLineChars="0"/>
              <w:rPr>
                <w:rFonts w:hint="eastAsia" w:ascii="仿宋" w:hAnsi="仿宋" w:eastAsia="仿宋" w:cs="仿宋"/>
                <w:sz w:val="28"/>
                <w:szCs w:val="28"/>
              </w:rPr>
            </w:pPr>
          </w:p>
        </w:tc>
        <w:tc>
          <w:tcPr>
            <w:tcW w:w="1241" w:type="dxa"/>
          </w:tcPr>
          <w:p>
            <w:pPr>
              <w:spacing w:beforeLines="0" w:line="240" w:lineRule="auto"/>
              <w:ind w:firstLine="0" w:firstLineChars="0"/>
              <w:rPr>
                <w:rFonts w:hint="eastAsia" w:ascii="仿宋" w:hAnsi="仿宋" w:eastAsia="仿宋" w:cs="仿宋"/>
                <w:sz w:val="28"/>
                <w:szCs w:val="28"/>
              </w:rPr>
            </w:pPr>
          </w:p>
        </w:tc>
        <w:tc>
          <w:tcPr>
            <w:tcW w:w="1487" w:type="dxa"/>
          </w:tcPr>
          <w:p>
            <w:pPr>
              <w:spacing w:beforeLines="0" w:line="240" w:lineRule="auto"/>
              <w:ind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是</w:t>
            </w:r>
          </w:p>
        </w:tc>
        <w:tc>
          <w:tcPr>
            <w:tcW w:w="901" w:type="dxa"/>
          </w:tcPr>
          <w:p>
            <w:pPr>
              <w:spacing w:beforeLines="0" w:line="240" w:lineRule="auto"/>
              <w:ind w:firstLine="0" w:firstLineChars="0"/>
              <w:rPr>
                <w:rFonts w:hint="eastAsia" w:ascii="仿宋" w:hAnsi="仿宋" w:eastAsia="仿宋" w:cs="仿宋"/>
                <w:sz w:val="28"/>
                <w:szCs w:val="28"/>
              </w:rPr>
            </w:pPr>
          </w:p>
        </w:tc>
        <w:tc>
          <w:tcPr>
            <w:tcW w:w="821" w:type="dxa"/>
            <w:vAlign w:val="top"/>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2396" w:type="dxa"/>
          </w:tcPr>
          <w:p>
            <w:pPr>
              <w:spacing w:beforeLines="0" w:line="240" w:lineRule="auto"/>
              <w:ind w:firstLine="0" w:firstLineChars="0"/>
              <w:jc w:val="center"/>
              <w:rPr>
                <w:rFonts w:hint="eastAsia" w:ascii="仿宋" w:hAnsi="仿宋" w:eastAsia="仿宋" w:cs="仿宋"/>
                <w:sz w:val="28"/>
                <w:szCs w:val="28"/>
              </w:rPr>
            </w:pPr>
          </w:p>
        </w:tc>
        <w:tc>
          <w:tcPr>
            <w:tcW w:w="1104" w:type="dxa"/>
          </w:tcPr>
          <w:p>
            <w:pPr>
              <w:spacing w:beforeLines="0" w:line="240" w:lineRule="auto"/>
              <w:ind w:firstLine="0" w:firstLineChars="0"/>
              <w:rPr>
                <w:rFonts w:hint="eastAsia" w:ascii="仿宋" w:hAnsi="仿宋" w:eastAsia="仿宋" w:cs="仿宋"/>
                <w:sz w:val="28"/>
                <w:szCs w:val="28"/>
              </w:rPr>
            </w:pPr>
          </w:p>
        </w:tc>
        <w:tc>
          <w:tcPr>
            <w:tcW w:w="1619"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9004" w:type="dxa"/>
            <w:gridSpan w:val="7"/>
            <w:vAlign w:val="center"/>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常用备品备件报价合计（元）</w:t>
            </w:r>
          </w:p>
        </w:tc>
        <w:tc>
          <w:tcPr>
            <w:tcW w:w="2396"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X</w:t>
            </w:r>
          </w:p>
        </w:tc>
        <w:tc>
          <w:tcPr>
            <w:tcW w:w="1104" w:type="dxa"/>
          </w:tcPr>
          <w:p>
            <w:pPr>
              <w:spacing w:beforeLines="0" w:line="240" w:lineRule="auto"/>
              <w:ind w:firstLine="0" w:firstLineChars="0"/>
              <w:rPr>
                <w:rFonts w:hint="eastAsia" w:ascii="仿宋" w:hAnsi="仿宋" w:eastAsia="仿宋" w:cs="仿宋"/>
                <w:sz w:val="28"/>
                <w:szCs w:val="28"/>
              </w:rPr>
            </w:pPr>
          </w:p>
        </w:tc>
        <w:tc>
          <w:tcPr>
            <w:tcW w:w="1619"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4"/>
                <w:szCs w:val="24"/>
                <w:u w:val="none"/>
                <w:lang w:val="en-US" w:eastAsia="zh-CN" w:bidi="ar"/>
              </w:rPr>
              <w:t>127</w:t>
            </w:r>
          </w:p>
        </w:tc>
        <w:tc>
          <w:tcPr>
            <w:tcW w:w="19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2"/>
                <w:szCs w:val="22"/>
                <w:u w:val="none"/>
                <w:lang w:val="en-US" w:eastAsia="zh-CN" w:bidi="ar"/>
              </w:rPr>
              <w:t>消防卷盘（含软管25m）</w:t>
            </w:r>
          </w:p>
        </w:tc>
        <w:tc>
          <w:tcPr>
            <w:tcW w:w="1769" w:type="dxa"/>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1241" w:type="dxa"/>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1487" w:type="dxa"/>
          </w:tcPr>
          <w:p>
            <w:pPr>
              <w:spacing w:beforeLines="0" w:line="240" w:lineRule="auto"/>
              <w:ind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否</w:t>
            </w:r>
          </w:p>
        </w:tc>
        <w:tc>
          <w:tcPr>
            <w:tcW w:w="901" w:type="dxa"/>
          </w:tcPr>
          <w:p>
            <w:pPr>
              <w:spacing w:beforeLines="0" w:line="240" w:lineRule="auto"/>
              <w:ind w:firstLine="0" w:firstLineChars="0"/>
              <w:rPr>
                <w:rFonts w:hint="eastAsia" w:ascii="仿宋" w:hAnsi="仿宋" w:eastAsia="仿宋" w:cs="仿宋"/>
                <w:sz w:val="28"/>
                <w:szCs w:val="28"/>
              </w:rPr>
            </w:pPr>
          </w:p>
        </w:tc>
        <w:tc>
          <w:tcPr>
            <w:tcW w:w="821" w:type="dxa"/>
            <w:vAlign w:val="top"/>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p>
        </w:tc>
        <w:tc>
          <w:tcPr>
            <w:tcW w:w="2396" w:type="dxa"/>
          </w:tcPr>
          <w:p>
            <w:pPr>
              <w:spacing w:beforeLines="0" w:line="240" w:lineRule="auto"/>
              <w:ind w:firstLine="0" w:firstLineChars="0"/>
              <w:jc w:val="center"/>
              <w:rPr>
                <w:rFonts w:hint="eastAsia" w:ascii="仿宋" w:hAnsi="仿宋" w:eastAsia="仿宋" w:cs="仿宋"/>
                <w:sz w:val="28"/>
                <w:szCs w:val="28"/>
              </w:rPr>
            </w:pPr>
          </w:p>
        </w:tc>
        <w:tc>
          <w:tcPr>
            <w:tcW w:w="1104" w:type="dxa"/>
          </w:tcPr>
          <w:p>
            <w:pPr>
              <w:spacing w:beforeLines="0" w:line="240" w:lineRule="auto"/>
              <w:ind w:firstLine="0" w:firstLineChars="0"/>
              <w:rPr>
                <w:rFonts w:hint="eastAsia" w:ascii="仿宋" w:hAnsi="仿宋" w:eastAsia="仿宋" w:cs="仿宋"/>
                <w:sz w:val="28"/>
                <w:szCs w:val="28"/>
              </w:rPr>
            </w:pPr>
          </w:p>
        </w:tc>
        <w:tc>
          <w:tcPr>
            <w:tcW w:w="1619"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4"/>
                <w:szCs w:val="24"/>
                <w:u w:val="none"/>
                <w:lang w:val="en-US" w:eastAsia="zh-CN" w:bidi="ar"/>
              </w:rPr>
              <w:t>128</w:t>
            </w:r>
          </w:p>
        </w:tc>
        <w:tc>
          <w:tcPr>
            <w:tcW w:w="19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2"/>
                <w:szCs w:val="22"/>
                <w:u w:val="none"/>
                <w:lang w:val="en-US" w:eastAsia="zh-CN" w:bidi="ar"/>
              </w:rPr>
              <w:t>消火栓钢卡</w:t>
            </w:r>
          </w:p>
        </w:tc>
        <w:tc>
          <w:tcPr>
            <w:tcW w:w="1769" w:type="dxa"/>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1241" w:type="dxa"/>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1487" w:type="dxa"/>
          </w:tcPr>
          <w:p>
            <w:pPr>
              <w:spacing w:beforeLines="0" w:line="240" w:lineRule="auto"/>
              <w:ind w:firstLine="0" w:firstLineChars="0"/>
              <w:rPr>
                <w:rFonts w:hint="eastAsia" w:ascii="仿宋" w:hAnsi="仿宋" w:eastAsia="仿宋" w:cs="仿宋"/>
                <w:sz w:val="28"/>
                <w:szCs w:val="28"/>
              </w:rPr>
            </w:pPr>
            <w:r>
              <w:rPr>
                <w:rFonts w:hint="eastAsia" w:ascii="仿宋" w:hAnsi="仿宋" w:eastAsia="仿宋" w:cs="仿宋"/>
                <w:sz w:val="28"/>
                <w:szCs w:val="28"/>
                <w:lang w:eastAsia="zh-CN"/>
              </w:rPr>
              <w:t>否</w:t>
            </w:r>
          </w:p>
        </w:tc>
        <w:tc>
          <w:tcPr>
            <w:tcW w:w="901" w:type="dxa"/>
          </w:tcPr>
          <w:p>
            <w:pPr>
              <w:spacing w:beforeLines="0" w:line="240" w:lineRule="auto"/>
              <w:ind w:firstLine="0" w:firstLineChars="0"/>
              <w:rPr>
                <w:rFonts w:hint="eastAsia" w:ascii="仿宋" w:hAnsi="仿宋" w:eastAsia="仿宋" w:cs="仿宋"/>
                <w:sz w:val="28"/>
                <w:szCs w:val="28"/>
              </w:rPr>
            </w:pPr>
          </w:p>
        </w:tc>
        <w:tc>
          <w:tcPr>
            <w:tcW w:w="821" w:type="dxa"/>
            <w:vAlign w:val="top"/>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p>
        </w:tc>
        <w:tc>
          <w:tcPr>
            <w:tcW w:w="2396" w:type="dxa"/>
          </w:tcPr>
          <w:p>
            <w:pPr>
              <w:spacing w:beforeLines="0" w:line="240" w:lineRule="auto"/>
              <w:ind w:firstLine="0" w:firstLineChars="0"/>
              <w:jc w:val="center"/>
              <w:rPr>
                <w:rFonts w:hint="eastAsia" w:ascii="仿宋" w:hAnsi="仿宋" w:eastAsia="仿宋" w:cs="仿宋"/>
                <w:sz w:val="28"/>
                <w:szCs w:val="28"/>
              </w:rPr>
            </w:pPr>
          </w:p>
        </w:tc>
        <w:tc>
          <w:tcPr>
            <w:tcW w:w="1104" w:type="dxa"/>
          </w:tcPr>
          <w:p>
            <w:pPr>
              <w:spacing w:beforeLines="0" w:line="240" w:lineRule="auto"/>
              <w:ind w:firstLine="0" w:firstLineChars="0"/>
              <w:rPr>
                <w:rFonts w:hint="eastAsia" w:ascii="仿宋" w:hAnsi="仿宋" w:eastAsia="仿宋" w:cs="仿宋"/>
                <w:sz w:val="28"/>
                <w:szCs w:val="28"/>
              </w:rPr>
            </w:pPr>
          </w:p>
        </w:tc>
        <w:tc>
          <w:tcPr>
            <w:tcW w:w="1619"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955"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769" w:type="dxa"/>
            <w:vAlign w:val="top"/>
          </w:tcPr>
          <w:p>
            <w:pPr>
              <w:spacing w:beforeLines="0" w:line="240" w:lineRule="auto"/>
              <w:ind w:firstLine="0" w:firstLineChars="0"/>
              <w:rPr>
                <w:rFonts w:hint="eastAsia" w:ascii="仿宋" w:hAnsi="仿宋" w:eastAsia="仿宋" w:cs="仿宋"/>
                <w:sz w:val="28"/>
                <w:szCs w:val="28"/>
              </w:rPr>
            </w:pPr>
          </w:p>
        </w:tc>
        <w:tc>
          <w:tcPr>
            <w:tcW w:w="1241" w:type="dxa"/>
            <w:vAlign w:val="top"/>
          </w:tcPr>
          <w:p>
            <w:pPr>
              <w:spacing w:beforeLines="0" w:line="240" w:lineRule="auto"/>
              <w:ind w:firstLine="0" w:firstLineChars="0"/>
              <w:rPr>
                <w:rFonts w:hint="eastAsia" w:ascii="仿宋" w:hAnsi="仿宋" w:eastAsia="仿宋" w:cs="仿宋"/>
                <w:sz w:val="28"/>
                <w:szCs w:val="28"/>
              </w:rPr>
            </w:pPr>
          </w:p>
        </w:tc>
        <w:tc>
          <w:tcPr>
            <w:tcW w:w="1487" w:type="dxa"/>
            <w:vAlign w:val="top"/>
          </w:tcPr>
          <w:p>
            <w:pPr>
              <w:spacing w:beforeLines="0"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w:t>
            </w:r>
          </w:p>
        </w:tc>
        <w:tc>
          <w:tcPr>
            <w:tcW w:w="901" w:type="dxa"/>
          </w:tcPr>
          <w:p>
            <w:pPr>
              <w:spacing w:beforeLines="0" w:line="240" w:lineRule="auto"/>
              <w:ind w:firstLine="0" w:firstLineChars="0"/>
              <w:rPr>
                <w:rFonts w:hint="eastAsia" w:ascii="仿宋" w:hAnsi="仿宋" w:eastAsia="仿宋" w:cs="仿宋"/>
                <w:sz w:val="28"/>
                <w:szCs w:val="28"/>
              </w:rPr>
            </w:pPr>
          </w:p>
        </w:tc>
        <w:tc>
          <w:tcPr>
            <w:tcW w:w="821" w:type="dxa"/>
            <w:vAlign w:val="top"/>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p>
        </w:tc>
        <w:tc>
          <w:tcPr>
            <w:tcW w:w="2396" w:type="dxa"/>
          </w:tcPr>
          <w:p>
            <w:pPr>
              <w:spacing w:beforeLines="0" w:line="240" w:lineRule="auto"/>
              <w:ind w:firstLine="0" w:firstLineChars="0"/>
              <w:jc w:val="center"/>
              <w:rPr>
                <w:rFonts w:hint="eastAsia" w:ascii="仿宋" w:hAnsi="仿宋" w:eastAsia="仿宋" w:cs="仿宋"/>
                <w:sz w:val="28"/>
                <w:szCs w:val="28"/>
              </w:rPr>
            </w:pPr>
          </w:p>
        </w:tc>
        <w:tc>
          <w:tcPr>
            <w:tcW w:w="1104" w:type="dxa"/>
          </w:tcPr>
          <w:p>
            <w:pPr>
              <w:spacing w:beforeLines="0" w:line="240" w:lineRule="auto"/>
              <w:ind w:firstLine="0" w:firstLineChars="0"/>
              <w:rPr>
                <w:rFonts w:hint="eastAsia" w:ascii="仿宋" w:hAnsi="仿宋" w:eastAsia="仿宋" w:cs="仿宋"/>
                <w:sz w:val="28"/>
                <w:szCs w:val="28"/>
              </w:rPr>
            </w:pPr>
          </w:p>
        </w:tc>
        <w:tc>
          <w:tcPr>
            <w:tcW w:w="1619"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613</w:t>
            </w:r>
          </w:p>
        </w:tc>
        <w:tc>
          <w:tcPr>
            <w:tcW w:w="1955"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769" w:type="dxa"/>
            <w:vAlign w:val="top"/>
          </w:tcPr>
          <w:p>
            <w:pPr>
              <w:spacing w:beforeLines="0" w:line="240" w:lineRule="auto"/>
              <w:ind w:firstLine="0" w:firstLineChars="0"/>
              <w:rPr>
                <w:rFonts w:hint="eastAsia" w:ascii="仿宋" w:hAnsi="仿宋" w:eastAsia="仿宋" w:cs="仿宋"/>
                <w:sz w:val="28"/>
                <w:szCs w:val="28"/>
              </w:rPr>
            </w:pPr>
          </w:p>
        </w:tc>
        <w:tc>
          <w:tcPr>
            <w:tcW w:w="1241" w:type="dxa"/>
            <w:vAlign w:val="top"/>
          </w:tcPr>
          <w:p>
            <w:pPr>
              <w:spacing w:beforeLines="0" w:line="240" w:lineRule="auto"/>
              <w:ind w:firstLine="0" w:firstLineChars="0"/>
              <w:rPr>
                <w:rFonts w:hint="eastAsia" w:ascii="仿宋" w:hAnsi="仿宋" w:eastAsia="仿宋" w:cs="仿宋"/>
                <w:sz w:val="28"/>
                <w:szCs w:val="28"/>
              </w:rPr>
            </w:pPr>
          </w:p>
        </w:tc>
        <w:tc>
          <w:tcPr>
            <w:tcW w:w="1487" w:type="dxa"/>
            <w:vAlign w:val="top"/>
          </w:tcPr>
          <w:p>
            <w:pPr>
              <w:spacing w:beforeLines="0"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w:t>
            </w:r>
          </w:p>
        </w:tc>
        <w:tc>
          <w:tcPr>
            <w:tcW w:w="901" w:type="dxa"/>
          </w:tcPr>
          <w:p>
            <w:pPr>
              <w:spacing w:beforeLines="0" w:line="240" w:lineRule="auto"/>
              <w:ind w:firstLine="0" w:firstLineChars="0"/>
              <w:rPr>
                <w:rFonts w:hint="eastAsia" w:ascii="仿宋" w:hAnsi="仿宋" w:eastAsia="仿宋" w:cs="仿宋"/>
                <w:sz w:val="28"/>
                <w:szCs w:val="28"/>
              </w:rPr>
            </w:pPr>
          </w:p>
        </w:tc>
        <w:tc>
          <w:tcPr>
            <w:tcW w:w="821" w:type="dxa"/>
            <w:vAlign w:val="top"/>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396" w:type="dxa"/>
          </w:tcPr>
          <w:p>
            <w:pPr>
              <w:spacing w:beforeLines="0" w:line="240" w:lineRule="auto"/>
              <w:ind w:firstLine="0" w:firstLineChars="0"/>
              <w:jc w:val="center"/>
              <w:rPr>
                <w:rFonts w:hint="eastAsia" w:ascii="仿宋" w:hAnsi="仿宋" w:eastAsia="仿宋" w:cs="仿宋"/>
                <w:sz w:val="28"/>
                <w:szCs w:val="28"/>
              </w:rPr>
            </w:pPr>
          </w:p>
        </w:tc>
        <w:tc>
          <w:tcPr>
            <w:tcW w:w="1104" w:type="dxa"/>
          </w:tcPr>
          <w:p>
            <w:pPr>
              <w:spacing w:beforeLines="0" w:line="240" w:lineRule="auto"/>
              <w:ind w:firstLine="0" w:firstLineChars="0"/>
              <w:rPr>
                <w:rFonts w:hint="eastAsia" w:ascii="仿宋" w:hAnsi="仿宋" w:eastAsia="仿宋" w:cs="仿宋"/>
                <w:sz w:val="28"/>
                <w:szCs w:val="28"/>
              </w:rPr>
            </w:pPr>
          </w:p>
        </w:tc>
        <w:tc>
          <w:tcPr>
            <w:tcW w:w="1619"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7"/>
            <w:vAlign w:val="center"/>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不常用备品备件报价合计</w:t>
            </w:r>
          </w:p>
        </w:tc>
        <w:tc>
          <w:tcPr>
            <w:tcW w:w="2396"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Y</w:t>
            </w:r>
          </w:p>
        </w:tc>
        <w:tc>
          <w:tcPr>
            <w:tcW w:w="1104" w:type="dxa"/>
          </w:tcPr>
          <w:p>
            <w:pPr>
              <w:spacing w:beforeLines="0" w:line="240" w:lineRule="auto"/>
              <w:ind w:firstLine="0" w:firstLineChars="0"/>
              <w:rPr>
                <w:rFonts w:hint="eastAsia" w:ascii="仿宋" w:hAnsi="仿宋" w:eastAsia="仿宋" w:cs="仿宋"/>
                <w:sz w:val="28"/>
                <w:szCs w:val="28"/>
              </w:rPr>
            </w:pPr>
          </w:p>
        </w:tc>
        <w:tc>
          <w:tcPr>
            <w:tcW w:w="1619"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7"/>
            <w:vAlign w:val="center"/>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备品备件总报价合计</w:t>
            </w:r>
          </w:p>
        </w:tc>
        <w:tc>
          <w:tcPr>
            <w:tcW w:w="2396"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60%X+40%Y</w:t>
            </w:r>
          </w:p>
        </w:tc>
        <w:tc>
          <w:tcPr>
            <w:tcW w:w="1104" w:type="dxa"/>
          </w:tcPr>
          <w:p>
            <w:pPr>
              <w:spacing w:beforeLines="0" w:line="240" w:lineRule="auto"/>
              <w:ind w:firstLine="0" w:firstLineChars="0"/>
              <w:rPr>
                <w:rFonts w:hint="eastAsia" w:ascii="仿宋" w:hAnsi="仿宋" w:eastAsia="仿宋" w:cs="仿宋"/>
                <w:sz w:val="28"/>
                <w:szCs w:val="28"/>
              </w:rPr>
            </w:pPr>
          </w:p>
        </w:tc>
        <w:tc>
          <w:tcPr>
            <w:tcW w:w="1619" w:type="dxa"/>
          </w:tcPr>
          <w:p>
            <w:pPr>
              <w:spacing w:beforeLines="0" w:line="240" w:lineRule="auto"/>
              <w:ind w:firstLine="0" w:firstLineChars="0"/>
              <w:rPr>
                <w:rFonts w:hint="eastAsia" w:ascii="仿宋" w:hAnsi="仿宋" w:eastAsia="仿宋" w:cs="仿宋"/>
                <w:sz w:val="28"/>
                <w:szCs w:val="28"/>
              </w:rPr>
            </w:pPr>
          </w:p>
        </w:tc>
      </w:tr>
    </w:tbl>
    <w:p>
      <w:pPr>
        <w:spacing w:before="120"/>
        <w:ind w:firstLine="550" w:firstLineChars="250"/>
        <w:rPr>
          <w:sz w:val="22"/>
        </w:rPr>
      </w:pPr>
      <w:r>
        <w:rPr>
          <w:rFonts w:hint="eastAsia"/>
          <w:sz w:val="22"/>
        </w:rPr>
        <w:t>说明：表中</w:t>
      </w:r>
      <w:r>
        <w:rPr>
          <w:rFonts w:hint="eastAsia"/>
          <w:sz w:val="22"/>
          <w:lang w:eastAsia="zh-CN"/>
        </w:rPr>
        <w:t>不</w:t>
      </w:r>
      <w:r>
        <w:rPr>
          <w:rFonts w:hint="eastAsia"/>
          <w:sz w:val="22"/>
        </w:rPr>
        <w:t>含税单价包含</w:t>
      </w:r>
      <w:r>
        <w:rPr>
          <w:rFonts w:hint="eastAsia"/>
          <w:sz w:val="22"/>
          <w:lang w:eastAsia="zh-CN"/>
        </w:rPr>
        <w:t>产品、</w:t>
      </w:r>
      <w:r>
        <w:rPr>
          <w:sz w:val="22"/>
        </w:rPr>
        <w:t>人工</w:t>
      </w:r>
      <w:r>
        <w:rPr>
          <w:rFonts w:hint="eastAsia"/>
          <w:sz w:val="22"/>
        </w:rPr>
        <w:t>、</w:t>
      </w:r>
      <w:r>
        <w:rPr>
          <w:rFonts w:hint="eastAsia"/>
          <w:sz w:val="22"/>
          <w:lang w:eastAsia="zh-CN"/>
        </w:rPr>
        <w:t>调试</w:t>
      </w:r>
      <w:r>
        <w:rPr>
          <w:rFonts w:hint="eastAsia"/>
          <w:sz w:val="22"/>
        </w:rPr>
        <w:t>、运输及保险等</w:t>
      </w:r>
      <w:r>
        <w:rPr>
          <w:sz w:val="22"/>
        </w:rPr>
        <w:t>所有</w:t>
      </w:r>
      <w:r>
        <w:rPr>
          <w:rFonts w:hint="eastAsia"/>
          <w:sz w:val="22"/>
        </w:rPr>
        <w:t>费用</w:t>
      </w:r>
      <w:r>
        <w:rPr>
          <w:rFonts w:hint="eastAsia"/>
          <w:sz w:val="22"/>
          <w:lang w:val="en-US" w:eastAsia="zh-CN"/>
        </w:rPr>
        <w:t>，</w:t>
      </w:r>
      <w:r>
        <w:rPr>
          <w:rFonts w:hint="eastAsia"/>
          <w:sz w:val="22"/>
        </w:rPr>
        <w:t>比选响应人必须根据</w:t>
      </w:r>
      <w:r>
        <w:rPr>
          <w:rFonts w:hint="eastAsia"/>
          <w:b/>
          <w:sz w:val="22"/>
          <w:lang w:eastAsia="zh-CN"/>
        </w:rPr>
        <w:t>附件</w:t>
      </w:r>
      <w:r>
        <w:rPr>
          <w:rFonts w:hint="eastAsia"/>
          <w:b/>
          <w:sz w:val="22"/>
          <w:lang w:val="en-US" w:eastAsia="zh-CN"/>
        </w:rPr>
        <w:t>4</w:t>
      </w:r>
      <w:r>
        <w:rPr>
          <w:rFonts w:hint="eastAsia"/>
          <w:sz w:val="22"/>
        </w:rPr>
        <w:t>中</w:t>
      </w:r>
      <w:r>
        <w:rPr>
          <w:rFonts w:hint="eastAsia"/>
          <w:sz w:val="22"/>
          <w:lang w:eastAsia="zh-CN"/>
        </w:rPr>
        <w:t>货物</w:t>
      </w:r>
      <w:r>
        <w:rPr>
          <w:rFonts w:hint="eastAsia"/>
          <w:sz w:val="22"/>
        </w:rPr>
        <w:t>清单的要求对本项目所需的全部设备及材料进行报价，每一项</w:t>
      </w:r>
      <w:r>
        <w:rPr>
          <w:sz w:val="22"/>
        </w:rPr>
        <w:t>报价不得超过</w:t>
      </w:r>
      <w:r>
        <w:rPr>
          <w:rFonts w:hint="eastAsia"/>
          <w:sz w:val="22"/>
        </w:rPr>
        <w:t>该项</w:t>
      </w:r>
      <w:r>
        <w:rPr>
          <w:sz w:val="22"/>
        </w:rPr>
        <w:t>限价</w:t>
      </w:r>
      <w:r>
        <w:rPr>
          <w:rFonts w:hint="eastAsia"/>
          <w:sz w:val="22"/>
        </w:rPr>
        <w:t>。</w:t>
      </w:r>
    </w:p>
    <w:p>
      <w:pPr>
        <w:spacing w:before="120"/>
        <w:ind w:firstLine="480"/>
        <w:rPr>
          <w:szCs w:val="28"/>
          <w:u w:val="single"/>
        </w:rPr>
      </w:pPr>
      <w:r>
        <w:rPr>
          <w:rFonts w:hint="eastAsia"/>
          <w:szCs w:val="28"/>
        </w:rPr>
        <w:t>比选响应人全称（盖单位公章）：</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spacing w:before="120"/>
        <w:ind w:firstLine="480"/>
        <w:rPr>
          <w:szCs w:val="28"/>
          <w:u w:val="single"/>
        </w:rPr>
      </w:pPr>
      <w:r>
        <w:rPr>
          <w:rFonts w:hint="eastAsia"/>
          <w:szCs w:val="28"/>
        </w:rPr>
        <w:t>全权代表</w:t>
      </w:r>
      <w:r>
        <w:rPr>
          <w:szCs w:val="28"/>
        </w:rPr>
        <w:t>(</w:t>
      </w:r>
      <w:r>
        <w:rPr>
          <w:rFonts w:hint="eastAsia"/>
          <w:szCs w:val="28"/>
        </w:rPr>
        <w:t>签字</w:t>
      </w:r>
      <w:r>
        <w:rPr>
          <w:szCs w:val="28"/>
        </w:rPr>
        <w:t>)</w:t>
      </w:r>
      <w:r>
        <w:rPr>
          <w:rFonts w:hint="eastAsia"/>
          <w:szCs w:val="28"/>
        </w:rPr>
        <w:t>：</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spacing w:before="120"/>
        <w:ind w:firstLine="480"/>
        <w:rPr>
          <w:szCs w:val="28"/>
          <w:u w:val="single"/>
        </w:rPr>
      </w:pPr>
      <w:r>
        <w:rPr>
          <w:rFonts w:hint="eastAsia"/>
          <w:szCs w:val="28"/>
        </w:rPr>
        <w:t>日期：</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pStyle w:val="2"/>
        <w:sectPr>
          <w:pgSz w:w="16838" w:h="11906" w:orient="landscape"/>
          <w:pgMar w:top="1800" w:right="1440" w:bottom="1800" w:left="1440" w:header="851" w:footer="992" w:gutter="0"/>
          <w:pgNumType w:fmt="decimal"/>
          <w:cols w:space="425" w:num="1"/>
          <w:docGrid w:type="lines" w:linePitch="312" w:charSpace="0"/>
        </w:sectPr>
      </w:pPr>
    </w:p>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pStyle w:val="5"/>
        <w:rPr>
          <w:rFonts w:hint="eastAsia"/>
        </w:rPr>
      </w:pPr>
    </w:p>
    <w:p>
      <w:pPr>
        <w:rPr>
          <w:rFonts w:hint="eastAsia" w:ascii="仿宋" w:hAnsi="仿宋" w:eastAsia="仿宋"/>
          <w:b/>
          <w:bCs/>
          <w:sz w:val="28"/>
          <w:szCs w:val="28"/>
        </w:rPr>
      </w:pPr>
    </w:p>
    <w:p>
      <w:pPr>
        <w:pStyle w:val="4"/>
        <w:ind w:firstLine="0" w:firstLineChars="0"/>
        <w:jc w:val="center"/>
        <w:rPr>
          <w:color w:val="000000"/>
          <w:sz w:val="28"/>
          <w:szCs w:val="28"/>
        </w:rPr>
      </w:pPr>
      <w:r>
        <w:rPr>
          <w:rFonts w:hint="eastAsia"/>
          <w:color w:val="000000"/>
          <w:sz w:val="28"/>
          <w:szCs w:val="28"/>
        </w:rPr>
        <w:t>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3360;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rPr>
          <w:rFonts w:ascii="宋体" w:hAnsi="宋体"/>
          <w:szCs w:val="21"/>
        </w:rPr>
      </w:pPr>
    </w:p>
    <w:p>
      <w:pPr>
        <w:widowControl/>
        <w:ind w:firstLine="0" w:firstLineChars="0"/>
        <w:jc w:val="left"/>
        <w:rPr>
          <w:rFonts w:ascii="宋体" w:hAnsi="宋体"/>
          <w:szCs w:val="21"/>
        </w:rPr>
      </w:pPr>
    </w:p>
    <w:p>
      <w:pPr>
        <w:pStyle w:val="2"/>
        <w:sectPr>
          <w:pgSz w:w="11906" w:h="16838"/>
          <w:pgMar w:top="1440" w:right="1800" w:bottom="1440" w:left="1800" w:header="851" w:footer="992" w:gutter="0"/>
          <w:pgNumType w:fmt="decimal"/>
          <w:cols w:space="425" w:num="1"/>
          <w:docGrid w:type="lines" w:linePitch="312" w:charSpace="0"/>
        </w:sect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附件4：</w:t>
      </w:r>
    </w:p>
    <w:p>
      <w:pPr>
        <w:pStyle w:val="14"/>
        <w:rPr>
          <w:rFonts w:hint="eastAsia" w:eastAsia="仿宋"/>
          <w:lang w:eastAsia="zh-CN"/>
        </w:rPr>
      </w:pPr>
      <w:r>
        <w:rPr>
          <w:rFonts w:hint="eastAsia" w:ascii="仿宋" w:hAnsi="仿宋" w:eastAsia="仿宋" w:cs="宋体"/>
          <w:kern w:val="0"/>
          <w:sz w:val="40"/>
          <w:szCs w:val="40"/>
        </w:rPr>
        <w:t>项目采购明细表</w:t>
      </w:r>
    </w:p>
    <w:tbl>
      <w:tblPr>
        <w:tblStyle w:val="16"/>
        <w:tblW w:w="14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4"/>
        <w:gridCol w:w="2995"/>
        <w:gridCol w:w="3521"/>
        <w:gridCol w:w="2120"/>
        <w:gridCol w:w="1814"/>
        <w:gridCol w:w="1814"/>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名称</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规格型号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制造商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2"/>
                <w:szCs w:val="22"/>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是否常用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2"/>
                <w:szCs w:val="22"/>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限价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b/>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球阀把手</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巨泉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KN65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消火栓栓头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稳压消火栓栓头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SW65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转向稳压消火栓栓头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SWZ65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消防卷盘（含软管25m）</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JPS1.0-19</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上海虹源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疏散控制柜逆变器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DC24v转AC220v（200w）</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DOXIN</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CM编程模块USB</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PM/PME电源模块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MBZ300/24A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风口拉环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匹配消防排烟或补风口</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风口拉环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匹配正压送风口</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XLCPSNG-45（45A）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2685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XLCPSNG-45（32A）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XLCPSNG-45（25A）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XLCPSNG-100（63A）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XLCPSNG-100（80A）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精密压力表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0-2.5MP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北京普特仪表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8脚继电器及底座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MY2N-J/DC24V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14脚继电器及底座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MY4N-J/DC24V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电源适配器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WT48-0504000-T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深圳文通电子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疏散引导箱玻璃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长52.5cm*宽78.5cm*厚0.5cm 符合DB50∕T 498-2013 消防疏散引导箱标准</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色带架</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DPK 500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富士通（针打）</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工作电源 DC24V，10A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YJG2300(10A)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3273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12输出继电器模块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808610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68°玻璃球闭式喷头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直立型K=80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68°玻璃球闭式喷头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下垂型K=80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68°玻璃球闭式喷头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隐蔽型K=80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68°快速响应玻璃球闭式喷头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直立型K=115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1.6Mpa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杭州东亚仪表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804866</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灭火器箱</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450*220*700mm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重庆力杰消防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智能型单向吊装疏散指示灯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BX-BLJC-2LREII1W3SN-B1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12V/12AH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12V/17AH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12V/24AH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荧光棒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54cm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慎安盛</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LED充电式手电筒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NN-201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尼能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大功率录音喊话器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BH-518</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虞城县创新声乐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移动疏散指示标志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33cm*13.2cm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温特孚</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口哨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佰诺</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消防自救呼吸器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TZL30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居安特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反光背心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普通型</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普泰维尔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毛巾</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21.5cm*21.5cm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锦似</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联动电源 DC24V，30A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YJG2300(30A)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OP620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HI620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光电感烟探测器带底座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OP820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感温探测器带底座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HI820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970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MT820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HI720-CN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OP720-CN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DB720-CN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FDCI221-CN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FDCIO221-CN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DC1154-AA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DC1157-AA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手动火灾报警按钮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FDN229-CN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FDHM228-CN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消防电话分机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HD210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煤气探测器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LYA15G</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JTW-GD-882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JTW-BCD-5451L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JTW-GD-2151L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802271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802371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4输入2输出模块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808613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M500HP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804971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CRT打印纸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热敏A4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虎奔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松下主机打印纸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热敏80*50mm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安舍主机打印纸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热敏56*40mm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色带</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LQ1600K/200K</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大正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色带盒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LQ1600K/300K</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大正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气体灭火主机电池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CB1217</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灭火器箱</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MGDF4-4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重庆震旦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水力压力开关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1.2MPA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浮球阀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恒裕</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80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球阀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上海良工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81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隐蔽式装饰盖</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DN16</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末端出水压力表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0-1.6MPA Y-40Z</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消火栓箱门锁</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钢材</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卷盘枪头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高邮　</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泵橡胶软接头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Φ50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电接点压力表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YX150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耐震压力表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1.6MPa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上海江云</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防火卷帘电源控制箱</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常州泰普电子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防火卷帘开关按钮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不锈钢面板（150*90）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仁之杰商贸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水炮解码器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LIAN-PJM203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T2A天窗推杆</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E250 行程750MM  750N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T2A天窗平衡盒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E102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T2A天窗控制器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E260N32-VDS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T2B天窗平衡盒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EB1066</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双头应急照明</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RT-ZFZD-E3W1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南宁锐拓</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止回阀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上海冠龙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水管软接头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环一阀门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液位变送器传感器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YZ1201-485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佛山一众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电缆式浮球液位开关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MAC-3(KEY-8）</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玛赫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24V  10A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双向地灯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BX-BLJC-1LREI1W3SN-DM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单向地灯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BX-BLJC-1REI1W3SN-DM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左向灯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BX-BLJC-1LEII1W3SNZP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右向灯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BX-BLJC-1REII1W3SNZP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BX-BLJC-1LREII1W3SNZP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出口灯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BX-BLJC-1OEII1W3SNZP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吊装双向指示灯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BX-BLJC-2LREI1W3SN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语音灯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BX-BLJC-1OEI1W-S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吊装语音灯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BX-BLJC-1OEI1W-S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手动报警按钮玻璃片</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安舍配套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非地址烟温感底座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DZ-B801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气体灭火系统控制盘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JB-DB-RP1002F</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诺帝菲尔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气灭紧急启停按钮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NBG-1002F</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诺帝菲尔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继电器（14脚）</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24V DC(CR-M024DC4L)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61.91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12V/38AH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463.44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消防应急照明灯具(防火塑料)</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M-ZFZD-E5W1100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敏华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48.67</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单向地面疏散指示灯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(钢化玻璃灯罩、304 不锈钢面框)</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HH-113D5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昊辉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73.69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双向地面疏散指示灯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(钢化玻璃灯罩、304 不锈钢面框)</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HH-113D5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昊辉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73.69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双面悬挂疏散指示灯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(铝合金拉丝加玻璃）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N-BLZD-2LR0EI5WFAQ</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拿斯特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安全出口悬挂疏散指示灯(铝合金拉丝加玻璃）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N-BLZD-2LR0EI5WFAQ</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拿斯特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楼层标识悬挂疏散指示灯(铝合金拉丝加玻璃）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N-BLZD-2LR0EI5WFAQ</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拿斯特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向左墙上疏散指示灯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（铝合金拉丝面板）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DY-BLZD-1LR0EI3W-220H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向右墙上疏散指示灯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（铝合金拉丝面板）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DY-BLZD-1LR0EI3W-220H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双向墙上疏散指示灯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（铝合金拉丝面板）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DY-BLZD-1LR0EI3W-220H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73.01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安全出口墙上疏散指示灯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（铝合金拉丝面板）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DY-BLZD-1LR0EI3W-220H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消火栓按钮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J-ASP-M24V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78.47</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127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消防卷盘（含软管25m）</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JPS0.8-19</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江苏祥和消防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128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消火栓钢卡</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129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消火栓钢卡</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消火栓钢卡</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堵板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堵板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堵板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12V100Ah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12V75Ah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12V55Ah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12V38Ah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12V33Ah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12V20Ah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12V12Ah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12V17Ah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12V120Ah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12V100Ah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12V80Ah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12V55Ah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12V44Ah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12V33Ah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12V26Ah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12V18Ah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交流接触器触点</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LAEN22N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LC1E32004E7N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LC1E65004M7N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LC1D25BDC</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交流接触器触点</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LARN22N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NC1-50Z</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疏散控制柜24V电源盘</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NES-50-24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台湾明纬</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3SN路由器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BX-3SNROUTER</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疏散控制柜逆变器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DC24v转AC220v（100w）</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转接板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BX-ZCZJB-UI</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970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开关电源模块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NES-350-24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台湾明纬</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通风按钮盒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110mm*94mm*40mm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美格林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SDM1开启控制模块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978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SDM2关闭控制模块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978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CCCM总开关模块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978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DM1/2/3分控模块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DM总控箱模块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WM风雨模块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DRA480电源</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DRA480-48A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3790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DRA480电源</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DRA240-24A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3790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CJX2-12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德力西</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风机控制面板模块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XHM1-11-145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扬州新海电气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风机控制面板模块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XHM1-11-144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扬州新海电气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风机控制面板模块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XHM1-11-144-1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扬州新海电气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执行机构</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DL-IV-4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宁波东灵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执行机构</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DL-V1-3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宁波东灵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DL-I-2WSD</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宁波东灵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630A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500A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400A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315A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160A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40A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G/630A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20913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G/500A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20502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G/400A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16945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G/315A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15806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G/160A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11113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G/125A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10390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TM/100A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5134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TM/40A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4102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主模块控制盒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XHM1-11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扬州新海电气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CR-M024AC4L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XLCPSNG-45（10A）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浪涌保护器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CTR-45N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森图</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浪涌保护器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CTR-25N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森图</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塑壳断路器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T2S 160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DZ-SD</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群达</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盟泰电子</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盟泰电子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GDJLM-2KS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温州迦得科技</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熔断器75℃</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思瑞缘</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北京金龙洲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电源变压器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EI48*3输入AC220V 50HZ 输出AC19.5V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深州市祥光盛</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蜂鸣器（1W）</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beep</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FJJ412-3P-（600）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漳州市金安机电</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BT-12M2.8AC（12V2.8Ah/20HR）</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福建省闽华电源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控制柜</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FJK-SF-TW15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天美沃克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警铃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Φ160mm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泵房巡检柜主机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ACS510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水泵电源空开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T4N250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水泵电源空开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T3N250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水泵电源空开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T5N400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JS14P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浙江泰华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RT28N-32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LW5-16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浙江天正电气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AC22V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乐清荣贤电气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ROHS</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浙江一佳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AX185-30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接触器式继电器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JZC4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天正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ABB热过载继电器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TA25DU-4.0M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BH-0.66 30I 电流比250/5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BH-0.66 30I 电流比300/5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控制变压器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ND（BK）-100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液位检测装置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液位报警装置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浮球阀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液位计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UHZ-519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上海傲龙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BEST-NR.0200（AC220V  50HZ）DN15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三叶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反射式线型光束感烟探测器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BEAM1224S</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警铃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SSM24-6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000000"/>
                <w:kern w:val="0"/>
                <w:sz w:val="24"/>
                <w:szCs w:val="24"/>
                <w:u w:val="none"/>
                <w:lang w:val="en-US" w:eastAsia="zh-CN" w:bidi="ar"/>
              </w:rPr>
              <w:t>231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便携式（可燃）EX检测仪</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SK-800-EX-G</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skyeaglee</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000000"/>
                <w:kern w:val="0"/>
                <w:sz w:val="24"/>
                <w:szCs w:val="24"/>
                <w:u w:val="none"/>
                <w:lang w:val="en-US" w:eastAsia="zh-CN" w:bidi="ar"/>
              </w:rPr>
              <w:t>232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便携式（红外甲烷）CH4检测仪</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SK-800-CH4-G</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skyeaglee</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E203/45r/3P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双电源转换开关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ATYSS M6E 63A/4P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S201M-C10DC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S201M-C16DC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S201M-C20DC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S204M-C10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S204M-C16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S204M-C20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CL-523R/G/Y 230VAC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C3SS1-10R/B-02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应急照明分配电装置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BX-FP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区域汇集器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BX-LYQ</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智能联动模块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BX-CE-B1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智能检测模块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BX-CE-XK</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2153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回路控制模块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BX-CE-SKD2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2755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S201M-C10NA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S201M-C16NA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S201M-C20NA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S203M-D10A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S203M-D16A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S203M-D20A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S203M-C10 3P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S203M-C16 3P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S203M-C20 3P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S202M-C10DC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S203M-C16DC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S203M-C20DC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双波段探测器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DC640-LA811T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68°快速响应大水滴喷头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普通型K=115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湿式报警阀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ZSFZ型 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末端试水装置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广东联塑</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上海沪航</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93°快速反应喷头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直立型K=115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93°快速反应喷头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隐蔽型K=115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上海沪航</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静音止回阀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静音止回阀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静音止回阀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可曲挠橡胶接头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可曲挠橡胶接头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泄压阀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非地址温感</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JTY-GD-885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海南禹成节能阀门制造有限公司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6175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海南禹成节能阀门制造有限公司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1911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信号蝶阀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自动跟踪定位射流灭火装置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ZDMS0.6/10S-TY</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灭火装置解码器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TYM-7C</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灭火装置现场控制盘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TYKG-CG</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水流指示器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自动排气阀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P724W-1ge0T DN25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上海沪航</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现场手动控制盘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TYZSS-HXC</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天雨水炮主机打印纸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宽57mm热敏打印纸132行（381-1）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视频分配器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ST-1632V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深圳新太</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硬盘刻录机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DS-7832HE-E2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海康威视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数字式液位测控仪</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HYC-01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电话分机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YJGF3295A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声光报警器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P900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可恢复式缆式线型感温火灾探测器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JTW-LD-9697A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可燃气体探测器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DT4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上海翼捷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可燃气体探测器主机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M630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上海翼捷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燃气房内声光报警器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P900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NOTIFIER</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放气指示灯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HJ2020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核中警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非地址烟感</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JTW-BD-882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径向喷头 ZHTJ40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ZHTJ40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径向喷头 ZHTJ32</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ZHTJ32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径向喷头 ZHTJ25</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ZHTJ25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径向喷头 ZHTJ20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ZHTJ20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红外光束接收器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GM100-LA803/T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红外光束发射器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GM100-LA803/R</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光端机-发射器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XCV16DY1-ST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江苏新创光电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光端机-接收器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XCV16DY1-SR</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江苏新创光电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视频切换器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VP-LA713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GQQ40/2.5－WS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GQQ70/2.5－WS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GQQ90/2.5－WS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GQQ120/2.5－WS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探测器（125A,300mA）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LDHT-D1+LDHJ70 125A+3*LDHG-30I 125A+2*T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探测器（160A,300mA）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LDHT-D1+LDHJ70 160A+3*LDHG-40I 160A+2*T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探测器（200A，300mA）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LDHT-D1+LDHJ70 630A+3*LDHG-40I 630A+2*T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探测器（32A,300mA）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32A+3*LDHG-30I 32A+2*T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探测器（100A,300mA）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LDHT-D1+LDHJ46 100A+3*LDHG-30I 100A+2*T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探测器（63A，300mA）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63A+3*LDHG-30I 63A+2*T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探测器（80A，300mA）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80A+3*LDHG-30I 80A+2*T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探测器（40A,300mA）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40A+3*LDHG-30I 40A+2*T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探测器（50A,300mA）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50A+3*LDHG-30I 50A+2*T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探测器（250A，300mA）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LDHT-D1+LDHJ96 630A+3*LDHG-40I 630A+2*T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探测器（315A，500mA）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LDHT-D1+LDHJ232*45 1600A+3*LDHG-40I 1600A+2*T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探测器（400A，500mA）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LDHT-D1+LDHJ232*45 1600A+3*LDHG-40I 1600A+3*T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探测器（500A，500mA）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LDHT-D1+LDHJ320*48 2000A+3*LDHG-50I 2000A+2*T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探测器（630A，1600mA）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LDHT-D1+LDHJ320*48 2000A+3*LDHG-50I 2000A+2*T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探测器（25A，300mA）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25A+3*LDHG-30I 25A+2*T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638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安全信号阀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水流指示器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不锈钢软接头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五岳减震（巩义市）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FT4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链式马达（侧窗电机）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E740/400mm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E250NT/750mm/750N</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2900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E250NT/500mm/750N</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E250NT/300mm/750N</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2650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不锈钢内螺旋电动推杆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E250/75mm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3350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CAN总线联网模块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CAN-BUS</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1990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LTA-24-AZ</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风雨传感器套装</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140229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疏散引导箱</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长700mm*高1000mm*宽250mm；箱体材料为优质冷轧钢板厚度不小于1.5mm；表面油漆光滑、平整、无缺陷；符合DB50∕T 498-2013 消防疏散引导箱标准</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矿泉水（冰露）</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550ml</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可口可乐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强光手电</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BXZ7620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湖北鑫光众晟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绝缘手套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JY-ST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泰州市三江消防器材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YJGF3296C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消防主机主板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B3X102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E3X103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B3Q565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网卡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E3H02X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网卡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E3H020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E3M140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E3M111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E3M07X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气体灭火报警主机控制面板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B3Q560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气体释放灯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ZA2113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声光报警器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HSG1010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DC1131-AA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输出模块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DC1134-AA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DC1136-AA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红外光束感烟探测器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DLA1191A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紧急启动按钮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MT300-1/ST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紧急停止按钮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MT300-2/SP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感温电缆微机头及终端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JTW-LCD-SX6229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沈阳消防电子设备厂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CRT打印机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LQ300K+Ⅱ</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紧急启动按钮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86*86*48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紧急停止按钮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86*86*48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可燃气体探测器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DAP3251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北京迪安波</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LED显示电路板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主板(512地址）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基本端子台电路板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充电器电路板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BVLX9891CH307</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液晶显示电路板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AC电源监视电路板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扩展电路板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LON电路板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BVLX9891CH311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BVLX9891CH312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变压器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BVL6424CH2230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打印部电路板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BVL6424CH4200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打印部电压低下监视电路板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BVL6424CH4210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定温探测器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BVR4410CH001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BV45329KCH002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警铃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BVR9263CH001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移信中继器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BVLX94804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监视中继器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BVLX94608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BVR6111CH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BVRX4580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CPU主板套件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808219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771690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操作显示面板套件     （不含打印机）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786452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扩展卡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772476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784382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784841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消防专用电话主机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YJG3295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气体灭火启停按钮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LKQ22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ZHGS2*90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ZHGS90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6491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IG541药剂钢瓶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ZHGP90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N2启动钢瓶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ZHGQ4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N2启动钢瓶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ZHGQ40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选择阀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ZHFX100/15　</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IG541药剂钢瓶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ZHGP100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选择阀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DN(25、32、40、50、65、80、100）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启动钢瓶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ZHGQ4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ZHGS2*(90、91、92、93、94、95）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IG541药剂钢瓶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ZHGP80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七氟丙烷无管网气体灭火装置（MQ)）</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120L</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卓安消防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七氟丙烷无管网气体灭火装置（MQ)）</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70L</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声光报警器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P2474RLZ</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38AH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26AH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UPS电源系统（含4个12V 100Ah电池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SURT1000UXICH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艾佩斯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巡更器电池                                   </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3.7V/1200mAh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厦门南孚</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电池充电器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HG-1206W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厦门南孚</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主机电源盘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网卡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通风开关保护罩</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透明亚克力（3mm）（90*90*50mm）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湿式报警阀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ZFSZ-150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水力警铃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ZSJL-200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广威消防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液位检测控制器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XMT-8431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海格仪表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水位仪</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BYR-1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上海诺舟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DC24 12VA（W）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贝斯特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继电器（水泵用）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24V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延迟器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ZSPY</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水流指示器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ZSJZ-150-1.6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良工、盾安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良工、盾安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集热盘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Φ400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冠龙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喷头装饰盖</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平安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洒水喷头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下垂式喷头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下垂式喷头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普通直立式喷头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末端试水装置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闽山</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消防卷盘（含软管）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19毫米口径（软管30米）</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高邮</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消火栓箱</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消防水带</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DN65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高邮</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水枪</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Q219型直流水枪</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高邮</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水泵密封圈</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120C-28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青岛仪表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青岛仪表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行程开关总成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YBLX-K3/20S/T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防火卷帘链条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通泰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sz w:val="22"/>
                <w:szCs w:val="22"/>
                <w:u w:val="none"/>
              </w:rPr>
            </w:pPr>
            <w:r>
              <w:rPr>
                <w:rFonts w:hint="eastAsia" w:ascii="宋体" w:hAnsi="宋体" w:eastAsia="宋体" w:cs="宋体"/>
                <w:i w:val="0"/>
                <w:color w:val="000000"/>
                <w:kern w:val="0"/>
                <w:sz w:val="24"/>
                <w:szCs w:val="24"/>
                <w:u w:val="none"/>
                <w:lang w:val="en-US" w:eastAsia="zh-CN" w:bidi="ar"/>
              </w:rPr>
              <w:t>453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sz w:val="22"/>
                <w:szCs w:val="22"/>
                <w:u w:val="none"/>
              </w:rPr>
            </w:pPr>
            <w:r>
              <w:rPr>
                <w:rFonts w:hint="eastAsia" w:ascii="宋体" w:hAnsi="宋体" w:eastAsia="宋体" w:cs="宋体"/>
                <w:i w:val="0"/>
                <w:color w:val="000000"/>
                <w:kern w:val="0"/>
                <w:sz w:val="22"/>
                <w:szCs w:val="22"/>
                <w:u w:val="none"/>
                <w:lang w:val="en-US" w:eastAsia="zh-CN" w:bidi="ar"/>
              </w:rPr>
              <w:t>100A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屏蔽线3芯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ZR-RVVP3*0.75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渝丰、南方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ZR-RVS-2*1.5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渝丰、南方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ZR-BV-1.5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渝丰、南方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瓷砖吸盘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得力</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多线控制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JB-QT-OLK3900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奥瑞那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气体灭火控制系统</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JBF5016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北大青鸟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水炮电源盘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输出24V、6A；输入220V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水炮液晶屏</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21寸</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监视器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SMC-215P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矩阵切换器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AB80-50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埃比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硬盘录像机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DVR-I-B/4-0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海康威视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LIAN-BKP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水炮控制盘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LIAN-PKP-8</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7470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报警接口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LIAN-BJK1604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水炮集中控制盘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LIAN-PJK</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UPS电源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C3KS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山特电子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ZDMSO.6/5S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弯头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迈克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钢卡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迈克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机械三通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DN150*80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迈克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机械三通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迈克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T2A天窗通风按钮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LTA-24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T2A天窗紧急启停按钮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FT4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T2A主机电源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30V6A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T2A主机外接电源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BCB8003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T2A消防电话总机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HDM2100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北京豪沃尔电子设备有限公司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T2A正压送风口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PSFK.DC.W280(800*800)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1240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T2A正压送风口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PSFK.DC.W280(1000*200)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T2A正压送风口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PSFK.DC.W280(600*600)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T2A防火阀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PFAF.W280(1600*1250)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T2A防火阀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PFAF.W280(1300*850)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T2B防火阀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TF.DC.W70(1500*800)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T2B天窗推杆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SP5-Z750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T2B天窗控制器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EMB7000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T2B天窗通风按钮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24V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T2B天窗紧急启停按钮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RWA-24VV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嵌入式疏散指示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普通式疏散指示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双向双面疏散指示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双向单面疏散指示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ZH-BLZD-I1LRE3W-B12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苏州振辉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单向双面疏散指示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地面疏散指示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HH-113D5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昊辉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安全出口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楼层标识安全出口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特殊标识安全出口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水管软接头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DN300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环一阀门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DN65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上海冠龙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上海冠龙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YSTX-DN65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上海贵龙阀门有限公司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水力控制阀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100X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上海鸿特阀门厂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水力控制阀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180X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上海欧特莱阀门机械有限公司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 PN10/16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正丰阀门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DN250 PN10/16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正丰阀门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GDL立式多级管道泵</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Y2-200L1-2    30KW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浦东电机有限公司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防火门联动闭门器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GA-93-3PIII（FMD-2)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深圳中天明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Y2-250M-4  55KW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Y2-200L-4  30KW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Y2-160M1-2  11KW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球阀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上海冠龙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65AH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线型感温火灾探测器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JTW-LCD-SX6229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沈阳消防电子设备厂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卷帘门电机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2000KG</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福建漳州天宇机电厂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24v 120A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AIKS</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A75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机械密封</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SLS/SLW250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FCL7201-Z3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软启动控制器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PSS72/124-500L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3P 63A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PLC 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S7-200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万能转换开关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LW5D-16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智能烟温感底座</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805590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电话分机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YJGF3296C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BKD-15KVA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BKD-7.5KVA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BKD-5.5KVA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BKD-30KVA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59900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YJS-15KVA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YJS-7.5KVA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41250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BKD-3KVA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XMKS-12KVA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XMKS-10KVA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XMKS-15KVA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29250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500V/4A 尺寸φ10*38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沪可电器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500V/5A 尺寸φ10*38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沪可电器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500V/6A 尺寸φ10*38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沪可电器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1号</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消火栓枪头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嘉宝</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KN65</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33.63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继电器（14脚）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230V AC(CR-M230AC4L)</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压力表（大）</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0-1.6MPA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上海仪川仪表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96.17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0-2.5MPA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上海仪川仪表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99.12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风雨感知器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140299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时间继电器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JSZ3A-A(ST3PA-A)AC220V 3A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浙江泰华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38.42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中间继电器(11脚）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JQX-10F(7.5A 240VAC        7.5A 24VDC)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浙江泰华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17.72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继电器（14脚）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AC24V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浙江一佳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11.73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ZSJY1.2KP（0.035-0.05MPa）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133.33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ZSJY1.6BP-S</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51.03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241-1一层三等份全白色撕边70g</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海之欧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63.14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打印机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DPK500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富士通</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2602.58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LC-P1228ST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6-GFM-26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12V28AH/20HR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16.5*12.5*17.5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415.41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FX808332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1694.23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CPU板卡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FX808328.RE</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23680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显示及操作面板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FX808324 5.7</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11151.34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光电转换器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TCF-142-S-ST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MOXA摩莎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1892.33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报警主机网卡模块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FX808340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6379.42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FX808326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报警按钮通用底座</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805601.1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电动闭门器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ZTM-B-FMD-2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深圳中天明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307.67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楼层显示器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E-LCD</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电源盘（10A）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YJG5113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3593.81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电源盘备用电池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LC-RA1212PG1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12V12AH/20HR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15.5*9.5*9.5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164.97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5*20 3A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伊莱科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5*20 10A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伊莱科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电源盘（30A）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YJG2300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4136.58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电源盘备用电池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LC-P1224ST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6-GFM-22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12V24AH/20HR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16.5*12.5*17.5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323.6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通讯主机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YJG3295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2820.8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通讯中继模块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YJG3295C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191.81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备用电池（20A）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LC-P1220ST 12V,20Ah/20HR</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260.77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探测模块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DMS02-LA705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4165.19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图像型火灾探测器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DC1020-LA813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22206.49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硬盘录像机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HIK DS-8104HS-SH-AF-DVR-I-B 4-0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海康威视</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3581.51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报警接口单元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BJK0016-LA702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3427.73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6-FM-7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12V7AH/20HR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15.5*7.0*9.5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江苏九华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77.65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MFZ1-4.5X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南通启元</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146.98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QXF0.08/4.2  0.08MPa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425.52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QYJ5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扬州新特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放气勿入灯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HJ2020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205.9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QYJ30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扬州新特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QYJ10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扬州新特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6-GFM-7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12V7AH/20HR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15.5*7.0*10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复华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97.49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JP-HSE-7.0-12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劲博电池</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光端机（接收端）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FSLA4T16FA-S1-RA1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江苏新创光电</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5951.33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JP-HSE-2.2-12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劲博电池</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91.52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光端机（发射端）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FTLA1-S1-BX0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江苏新创光电</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3179.2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监控模块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LDHT-D1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2220.65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电气火灾监控LDHJ85*15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175.22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电气火灾监控LDHJ70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338.64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电气火灾监控LDHJ96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447.79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电气火灾监控LDHJ232*45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887.32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电气火灾监控LDHJ320*48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1107.96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过电流探测器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电气火灾监控LDHG-30I</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255.75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过电流探测器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电气火灾监控LDHG-40I</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314.75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过电流探测器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电气火灾监控LDHG-50I</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353.98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T2B消防电话主机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DH9251(40位）</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奥瑞娜</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3098.82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换乘四号主机操作面板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CT11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56000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双向地灯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安装方式：地面安装；面板材质：不锈钢；输入电源：24V；外壳防护等级：IP67；尺寸：ф280*50（mm）；执行标准：GB17945-2010;需与T3A航站楼现有疏散标志外型一致并提供消防产品强制认证报告。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144.63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单向地灯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安装方式：地面安装；面板材质：不锈钢；输入电源：24V；外壳防护等级：IP67；尺寸：ф280*50（mm）；执行标准：GB17945-2010;需与T3A航站楼现有疏散标志外型一致并提供消防产品强制认证报告。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144.63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左向灯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右向灯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94.25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出口灯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吊装双向指示灯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91.21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语音灯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安装方式：吊装式；面板材质：铝型材；输入电源：24V；外壳防护等级：IP30；尺寸：360*126*12（mm）；执行标准：GB17945-2010;需与T3A航站楼现有疏散标志外型一致并提供消防产品强制认证报告。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吊装语音灯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安装方式：吊装式；面板材质：铝型材；输入电源：24V；外壳防护等级：IP30；尺寸：360*126*12（mm）；执行标准：GB17945-2010;需与T3A航站楼现有疏散标志外型一致并提供消防产品强制认证报告。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吊装单向疏散指示灯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84.19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220V智能充电器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CHAZN-V220A3AW700T2/QLA01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6023.89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江北机场EPS主控板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PA00076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2646.02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电池巡检单元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EPS-BT-A1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2705.75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LCD液晶屏</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DMG48270C043-03WTR</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252.65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bl>
    <w:p>
      <w:pPr>
        <w:tabs>
          <w:tab w:val="left" w:pos="2208"/>
          <w:tab w:val="center" w:pos="6979"/>
          <w:tab w:val="left" w:pos="11640"/>
        </w:tabs>
        <w:rPr>
          <w:rFonts w:ascii="仿宋" w:hAnsi="仿宋" w:eastAsia="仿宋"/>
          <w:sz w:val="32"/>
          <w:szCs w:val="32"/>
        </w:rPr>
      </w:pPr>
    </w:p>
    <w:p>
      <w:pPr>
        <w:pStyle w:val="2"/>
        <w:rPr>
          <w:rFonts w:ascii="仿宋" w:hAnsi="仿宋" w:eastAsia="仿宋"/>
          <w:sz w:val="32"/>
          <w:szCs w:val="32"/>
        </w:rPr>
      </w:pPr>
    </w:p>
    <w:p>
      <w:pPr>
        <w:sectPr>
          <w:pgSz w:w="16838" w:h="11906" w:orient="landscape"/>
          <w:pgMar w:top="1800" w:right="1440" w:bottom="1800" w:left="1440" w:header="851" w:footer="992" w:gutter="0"/>
          <w:pgNumType w:fmt="decimal"/>
          <w:cols w:space="425" w:num="1"/>
          <w:docGrid w:type="lines" w:linePitch="312" w:charSpace="0"/>
        </w:sectPr>
      </w:pPr>
    </w:p>
    <w:p>
      <w:pPr>
        <w:snapToGrid w:val="0"/>
        <w:spacing w:line="360" w:lineRule="auto"/>
        <w:rPr>
          <w:rFonts w:hint="eastAsia" w:ascii="仿宋" w:hAnsi="仿宋" w:eastAsia="仿宋"/>
          <w:b/>
          <w:bCs/>
          <w:sz w:val="28"/>
          <w:szCs w:val="28"/>
          <w:lang w:val="en-US" w:eastAsia="zh-CN"/>
        </w:rPr>
      </w:pPr>
      <w:bookmarkStart w:id="37" w:name="_Toc27244"/>
      <w:bookmarkStart w:id="38" w:name="_Toc32380"/>
      <w:bookmarkStart w:id="39" w:name="_Toc17470"/>
      <w:r>
        <w:rPr>
          <w:rFonts w:hint="eastAsia" w:ascii="仿宋" w:hAnsi="仿宋" w:eastAsia="仿宋"/>
          <w:b/>
          <w:bCs/>
          <w:sz w:val="28"/>
          <w:szCs w:val="28"/>
          <w:lang w:eastAsia="zh-CN"/>
        </w:rPr>
        <w:t>附件</w:t>
      </w:r>
      <w:r>
        <w:rPr>
          <w:rFonts w:hint="eastAsia" w:ascii="仿宋" w:hAnsi="仿宋" w:eastAsia="仿宋"/>
          <w:b/>
          <w:bCs/>
          <w:sz w:val="28"/>
          <w:szCs w:val="28"/>
          <w:lang w:val="en-US" w:eastAsia="zh-CN"/>
        </w:rPr>
        <w:t>5</w:t>
      </w:r>
    </w:p>
    <w:p>
      <w:pPr>
        <w:spacing w:before="120"/>
        <w:ind w:firstLine="440"/>
        <w:jc w:val="center"/>
        <w:outlineLvl w:val="0"/>
        <w:rPr>
          <w:b/>
          <w:sz w:val="28"/>
          <w:szCs w:val="32"/>
        </w:rPr>
      </w:pPr>
      <w:r>
        <w:rPr>
          <w:rFonts w:hint="eastAsia"/>
          <w:b/>
          <w:sz w:val="28"/>
          <w:szCs w:val="32"/>
        </w:rPr>
        <w:t>偏离表</w:t>
      </w:r>
      <w:bookmarkEnd w:id="37"/>
      <w:bookmarkEnd w:id="38"/>
      <w:bookmarkEnd w:id="39"/>
    </w:p>
    <w:p>
      <w:pPr>
        <w:spacing w:before="120"/>
        <w:ind w:firstLine="0" w:firstLineChars="0"/>
        <w:rPr>
          <w:b/>
          <w:kern w:val="2"/>
          <w:szCs w:val="28"/>
        </w:rPr>
      </w:pPr>
      <w:r>
        <w:rPr>
          <w:rFonts w:hint="eastAsia"/>
          <w:b/>
          <w:kern w:val="2"/>
          <w:szCs w:val="28"/>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40"/>
        <w:gridCol w:w="2700"/>
        <w:gridCol w:w="26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vAlign w:val="center"/>
          </w:tcPr>
          <w:p>
            <w:pPr>
              <w:snapToGrid w:val="0"/>
              <w:spacing w:before="120" w:line="240" w:lineRule="auto"/>
              <w:ind w:firstLine="0" w:firstLineChars="0"/>
              <w:jc w:val="left"/>
              <w:textAlignment w:val="auto"/>
              <w:rPr>
                <w:rFonts w:ascii="宋体" w:hAnsi="宋体"/>
                <w:sz w:val="28"/>
                <w:szCs w:val="28"/>
              </w:rPr>
            </w:pPr>
            <w:r>
              <w:rPr>
                <w:rFonts w:hint="eastAsia" w:ascii="宋体" w:hAnsi="宋体"/>
                <w:sz w:val="28"/>
                <w:szCs w:val="28"/>
              </w:rPr>
              <w:t>序号</w:t>
            </w:r>
          </w:p>
        </w:tc>
        <w:tc>
          <w:tcPr>
            <w:tcW w:w="1640"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lang w:eastAsia="zh-CN"/>
              </w:rPr>
              <w:t>条款及编号</w:t>
            </w:r>
          </w:p>
        </w:tc>
        <w:tc>
          <w:tcPr>
            <w:tcW w:w="2700"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rPr>
              <w:t>比选响应文件</w:t>
            </w:r>
            <w:r>
              <w:rPr>
                <w:rFonts w:hint="eastAsia" w:ascii="宋体" w:hAnsi="宋体"/>
                <w:sz w:val="28"/>
                <w:szCs w:val="28"/>
                <w:lang w:eastAsia="zh-CN"/>
              </w:rPr>
              <w:t>要求</w:t>
            </w:r>
          </w:p>
        </w:tc>
        <w:tc>
          <w:tcPr>
            <w:tcW w:w="2615" w:type="dxa"/>
            <w:vAlign w:val="center"/>
          </w:tcPr>
          <w:p>
            <w:pPr>
              <w:snapToGrid w:val="0"/>
              <w:spacing w:before="120" w:line="240" w:lineRule="auto"/>
              <w:ind w:firstLine="0" w:firstLineChars="0"/>
              <w:jc w:val="left"/>
              <w:textAlignment w:val="auto"/>
              <w:rPr>
                <w:rFonts w:ascii="宋体" w:hAnsi="宋体"/>
                <w:sz w:val="28"/>
                <w:szCs w:val="28"/>
              </w:rPr>
            </w:pPr>
            <w:r>
              <w:rPr>
                <w:rFonts w:hint="eastAsia" w:ascii="宋体" w:hAnsi="宋体"/>
                <w:sz w:val="28"/>
                <w:szCs w:val="28"/>
              </w:rPr>
              <w:t>比选采购文件</w:t>
            </w:r>
            <w:r>
              <w:rPr>
                <w:rFonts w:hint="eastAsia" w:ascii="宋体" w:hAnsi="宋体"/>
                <w:sz w:val="28"/>
                <w:szCs w:val="28"/>
                <w:lang w:eastAsia="zh-CN"/>
              </w:rPr>
              <w:t>要求</w:t>
            </w:r>
          </w:p>
        </w:tc>
        <w:tc>
          <w:tcPr>
            <w:tcW w:w="1417"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lang w:eastAsia="zh-CN"/>
              </w:rPr>
              <w:t>有无偏离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bl>
    <w:p>
      <w:pPr>
        <w:spacing w:before="120"/>
        <w:ind w:firstLine="0" w:firstLineChars="0"/>
        <w:rPr>
          <w:szCs w:val="28"/>
        </w:rPr>
      </w:pPr>
      <w:r>
        <w:rPr>
          <w:rFonts w:hint="eastAsia"/>
          <w:szCs w:val="28"/>
        </w:rPr>
        <w:t>注：如未填写，则认为比选响应人所有</w:t>
      </w:r>
      <w:r>
        <w:rPr>
          <w:rFonts w:hint="eastAsia"/>
          <w:szCs w:val="28"/>
          <w:lang w:eastAsia="zh-CN"/>
        </w:rPr>
        <w:t>要求</w:t>
      </w:r>
      <w:r>
        <w:rPr>
          <w:rFonts w:hint="eastAsia"/>
          <w:szCs w:val="28"/>
        </w:rPr>
        <w:t>无偏离。</w:t>
      </w:r>
    </w:p>
    <w:p>
      <w:pPr>
        <w:spacing w:before="120"/>
        <w:ind w:firstLine="0" w:firstLineChars="0"/>
        <w:rPr>
          <w:rFonts w:hint="eastAsia"/>
          <w:b/>
          <w:szCs w:val="28"/>
        </w:rPr>
      </w:pPr>
    </w:p>
    <w:p>
      <w:pPr>
        <w:spacing w:before="120"/>
        <w:ind w:firstLine="0" w:firstLineChars="0"/>
        <w:rPr>
          <w:szCs w:val="28"/>
        </w:rPr>
      </w:pPr>
    </w:p>
    <w:p>
      <w:pPr>
        <w:spacing w:before="120"/>
        <w:ind w:firstLine="0" w:firstLineChars="0"/>
        <w:rPr>
          <w:szCs w:val="28"/>
        </w:rPr>
      </w:pPr>
    </w:p>
    <w:p>
      <w:pPr>
        <w:spacing w:before="120"/>
        <w:ind w:firstLine="0" w:firstLineChars="0"/>
        <w:rPr>
          <w:szCs w:val="28"/>
        </w:rPr>
      </w:pPr>
      <w:r>
        <w:rPr>
          <w:rFonts w:hint="eastAsia"/>
          <w:szCs w:val="28"/>
        </w:rPr>
        <w:t>比选响应人（盖单位公章）__________________________</w:t>
      </w:r>
    </w:p>
    <w:p>
      <w:pPr>
        <w:spacing w:before="120"/>
        <w:ind w:firstLine="0" w:firstLineChars="0"/>
        <w:rPr>
          <w:szCs w:val="28"/>
        </w:rPr>
      </w:pPr>
      <w:r>
        <w:rPr>
          <w:rFonts w:hint="eastAsia"/>
          <w:szCs w:val="28"/>
        </w:rPr>
        <w:t>比选响应人法定代表人或授权代表签名:_____________</w:t>
      </w:r>
    </w:p>
    <w:p>
      <w:pPr>
        <w:spacing w:before="120"/>
        <w:ind w:firstLine="0" w:firstLineChars="0"/>
        <w:rPr>
          <w:szCs w:val="28"/>
        </w:rPr>
      </w:pPr>
      <w:r>
        <w:rPr>
          <w:rFonts w:hint="eastAsia"/>
          <w:szCs w:val="28"/>
        </w:rPr>
        <w:t>日期：________________________</w:t>
      </w:r>
    </w:p>
    <w:p>
      <w:pPr>
        <w:pStyle w:val="2"/>
      </w:pPr>
    </w:p>
    <w:p/>
    <w:p/>
    <w:p/>
    <w:p/>
    <w:p/>
    <w:p/>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icomoon">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ind w:firstLine="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spacing w:before="120"/>
                            <w:ind w:firstLine="36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spacing w:before="120"/>
                      <w:ind w:firstLine="36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2D2B31"/>
    <w:rsid w:val="01812480"/>
    <w:rsid w:val="018E717F"/>
    <w:rsid w:val="02551D30"/>
    <w:rsid w:val="02A974E4"/>
    <w:rsid w:val="02F3345A"/>
    <w:rsid w:val="03294D58"/>
    <w:rsid w:val="039C5F00"/>
    <w:rsid w:val="03B66488"/>
    <w:rsid w:val="041D7ED9"/>
    <w:rsid w:val="051A237D"/>
    <w:rsid w:val="057B6E16"/>
    <w:rsid w:val="06114EB2"/>
    <w:rsid w:val="062C7AB0"/>
    <w:rsid w:val="065E7101"/>
    <w:rsid w:val="06926D13"/>
    <w:rsid w:val="06B0704C"/>
    <w:rsid w:val="06E96658"/>
    <w:rsid w:val="07672918"/>
    <w:rsid w:val="07A50AC0"/>
    <w:rsid w:val="07AE07B1"/>
    <w:rsid w:val="07CD0010"/>
    <w:rsid w:val="084A7A5E"/>
    <w:rsid w:val="08C36957"/>
    <w:rsid w:val="092936E8"/>
    <w:rsid w:val="09EC6EDC"/>
    <w:rsid w:val="0B15208A"/>
    <w:rsid w:val="0B594B26"/>
    <w:rsid w:val="0B9C5C5A"/>
    <w:rsid w:val="0BE82169"/>
    <w:rsid w:val="0C2F7B78"/>
    <w:rsid w:val="0C342DB9"/>
    <w:rsid w:val="0C475CFE"/>
    <w:rsid w:val="0CAC1D41"/>
    <w:rsid w:val="0CBB4404"/>
    <w:rsid w:val="0F0001A4"/>
    <w:rsid w:val="0F075A57"/>
    <w:rsid w:val="0F484754"/>
    <w:rsid w:val="0FD21F07"/>
    <w:rsid w:val="100D6839"/>
    <w:rsid w:val="101B284F"/>
    <w:rsid w:val="119B67E6"/>
    <w:rsid w:val="11BD7E69"/>
    <w:rsid w:val="128E6B0C"/>
    <w:rsid w:val="12A53375"/>
    <w:rsid w:val="12D87FC2"/>
    <w:rsid w:val="13414DF0"/>
    <w:rsid w:val="13A51C33"/>
    <w:rsid w:val="143B0E1B"/>
    <w:rsid w:val="14456DA3"/>
    <w:rsid w:val="15491EEA"/>
    <w:rsid w:val="1588308B"/>
    <w:rsid w:val="15925856"/>
    <w:rsid w:val="159E71EA"/>
    <w:rsid w:val="16301051"/>
    <w:rsid w:val="163168DC"/>
    <w:rsid w:val="16393B27"/>
    <w:rsid w:val="17E75659"/>
    <w:rsid w:val="17F80259"/>
    <w:rsid w:val="186774BF"/>
    <w:rsid w:val="18D57E27"/>
    <w:rsid w:val="19E3359F"/>
    <w:rsid w:val="1ABA18B1"/>
    <w:rsid w:val="1AE76FFF"/>
    <w:rsid w:val="1B7372BF"/>
    <w:rsid w:val="1BB10713"/>
    <w:rsid w:val="1C2D30C9"/>
    <w:rsid w:val="1C467DC8"/>
    <w:rsid w:val="1C831305"/>
    <w:rsid w:val="1D59475A"/>
    <w:rsid w:val="1E1A62D7"/>
    <w:rsid w:val="1E321250"/>
    <w:rsid w:val="1E856992"/>
    <w:rsid w:val="1F35392A"/>
    <w:rsid w:val="1F4C3D24"/>
    <w:rsid w:val="1F6B2A1D"/>
    <w:rsid w:val="1F9E5DF7"/>
    <w:rsid w:val="20E6771B"/>
    <w:rsid w:val="212D69FF"/>
    <w:rsid w:val="21456934"/>
    <w:rsid w:val="215162BC"/>
    <w:rsid w:val="219352FE"/>
    <w:rsid w:val="220046E7"/>
    <w:rsid w:val="227663D5"/>
    <w:rsid w:val="22F70F66"/>
    <w:rsid w:val="238923C2"/>
    <w:rsid w:val="23E40EF9"/>
    <w:rsid w:val="2491466A"/>
    <w:rsid w:val="24F21CFF"/>
    <w:rsid w:val="2590656D"/>
    <w:rsid w:val="26121BFC"/>
    <w:rsid w:val="26DF36D3"/>
    <w:rsid w:val="26E5195A"/>
    <w:rsid w:val="27634439"/>
    <w:rsid w:val="278E51FA"/>
    <w:rsid w:val="285336FA"/>
    <w:rsid w:val="29A47243"/>
    <w:rsid w:val="2A36169F"/>
    <w:rsid w:val="2A4442C9"/>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C06E3D"/>
    <w:rsid w:val="2FDB2561"/>
    <w:rsid w:val="2FDC3C1D"/>
    <w:rsid w:val="30255CA3"/>
    <w:rsid w:val="30CA196F"/>
    <w:rsid w:val="30E92D4D"/>
    <w:rsid w:val="30F83B61"/>
    <w:rsid w:val="31115D90"/>
    <w:rsid w:val="328B03E6"/>
    <w:rsid w:val="33480090"/>
    <w:rsid w:val="33F72C73"/>
    <w:rsid w:val="346D767E"/>
    <w:rsid w:val="34833455"/>
    <w:rsid w:val="348B2611"/>
    <w:rsid w:val="350D5443"/>
    <w:rsid w:val="35B444F0"/>
    <w:rsid w:val="35C224E9"/>
    <w:rsid w:val="36F465CF"/>
    <w:rsid w:val="374A3105"/>
    <w:rsid w:val="37572E9C"/>
    <w:rsid w:val="37907A7E"/>
    <w:rsid w:val="38333537"/>
    <w:rsid w:val="38B24D5A"/>
    <w:rsid w:val="38BA4CF1"/>
    <w:rsid w:val="38FA1B4F"/>
    <w:rsid w:val="391B4159"/>
    <w:rsid w:val="39391916"/>
    <w:rsid w:val="39A259E2"/>
    <w:rsid w:val="39A77B84"/>
    <w:rsid w:val="3A175922"/>
    <w:rsid w:val="3A9C6630"/>
    <w:rsid w:val="3AF41789"/>
    <w:rsid w:val="3B2F3D7C"/>
    <w:rsid w:val="3B354EA1"/>
    <w:rsid w:val="3B4000D7"/>
    <w:rsid w:val="3BA83ADB"/>
    <w:rsid w:val="3CDA272C"/>
    <w:rsid w:val="3CDB3981"/>
    <w:rsid w:val="3DA63748"/>
    <w:rsid w:val="3DCD3D4B"/>
    <w:rsid w:val="3DE260E2"/>
    <w:rsid w:val="3E8838BC"/>
    <w:rsid w:val="3EAA6BC9"/>
    <w:rsid w:val="3EC95C23"/>
    <w:rsid w:val="3F1706C1"/>
    <w:rsid w:val="4004497A"/>
    <w:rsid w:val="42086C23"/>
    <w:rsid w:val="421804CD"/>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A4F102E"/>
    <w:rsid w:val="4B306E4D"/>
    <w:rsid w:val="4B3379D7"/>
    <w:rsid w:val="4C0842E9"/>
    <w:rsid w:val="4C5330B1"/>
    <w:rsid w:val="4C594A0F"/>
    <w:rsid w:val="4C82367D"/>
    <w:rsid w:val="4CB20E18"/>
    <w:rsid w:val="4CD1534F"/>
    <w:rsid w:val="4D3E64E6"/>
    <w:rsid w:val="4D7D3A50"/>
    <w:rsid w:val="4DA85B00"/>
    <w:rsid w:val="4E89537F"/>
    <w:rsid w:val="4ECB04AD"/>
    <w:rsid w:val="4F226B33"/>
    <w:rsid w:val="4F5A7728"/>
    <w:rsid w:val="4F636608"/>
    <w:rsid w:val="5060179E"/>
    <w:rsid w:val="50895A42"/>
    <w:rsid w:val="50AF50EC"/>
    <w:rsid w:val="50C37BC4"/>
    <w:rsid w:val="5180793B"/>
    <w:rsid w:val="51EA1F2E"/>
    <w:rsid w:val="521C4028"/>
    <w:rsid w:val="532527E9"/>
    <w:rsid w:val="53A92D23"/>
    <w:rsid w:val="54F50869"/>
    <w:rsid w:val="550B5BC3"/>
    <w:rsid w:val="556C4E58"/>
    <w:rsid w:val="570A7395"/>
    <w:rsid w:val="57A71AC0"/>
    <w:rsid w:val="57C167C4"/>
    <w:rsid w:val="58094566"/>
    <w:rsid w:val="583C26C6"/>
    <w:rsid w:val="58E14FB2"/>
    <w:rsid w:val="59911108"/>
    <w:rsid w:val="599E3AD3"/>
    <w:rsid w:val="59A46BB4"/>
    <w:rsid w:val="59AE32A4"/>
    <w:rsid w:val="59B418EC"/>
    <w:rsid w:val="5A294443"/>
    <w:rsid w:val="5C3A4E1A"/>
    <w:rsid w:val="5C4B3453"/>
    <w:rsid w:val="5CDD703B"/>
    <w:rsid w:val="5D8D6D43"/>
    <w:rsid w:val="5DB63AED"/>
    <w:rsid w:val="5EAF29C2"/>
    <w:rsid w:val="5F25414E"/>
    <w:rsid w:val="5F457474"/>
    <w:rsid w:val="5FD90792"/>
    <w:rsid w:val="5FE801DD"/>
    <w:rsid w:val="60681418"/>
    <w:rsid w:val="61535B56"/>
    <w:rsid w:val="61795552"/>
    <w:rsid w:val="6201263F"/>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79F5A11"/>
    <w:rsid w:val="67C2595C"/>
    <w:rsid w:val="67C96241"/>
    <w:rsid w:val="67E64BF7"/>
    <w:rsid w:val="67F65044"/>
    <w:rsid w:val="69B1552A"/>
    <w:rsid w:val="69C35883"/>
    <w:rsid w:val="69E1386C"/>
    <w:rsid w:val="69E63C7D"/>
    <w:rsid w:val="6B995283"/>
    <w:rsid w:val="6BB521AF"/>
    <w:rsid w:val="6C2418B0"/>
    <w:rsid w:val="6DF00CD3"/>
    <w:rsid w:val="6E7B36FE"/>
    <w:rsid w:val="6F0F3457"/>
    <w:rsid w:val="6F6030FF"/>
    <w:rsid w:val="6F73415D"/>
    <w:rsid w:val="6FA97E94"/>
    <w:rsid w:val="6FD530AF"/>
    <w:rsid w:val="6FFD1A4C"/>
    <w:rsid w:val="71193D3B"/>
    <w:rsid w:val="71CB423A"/>
    <w:rsid w:val="72F270E8"/>
    <w:rsid w:val="742A40FE"/>
    <w:rsid w:val="74727757"/>
    <w:rsid w:val="75292A5A"/>
    <w:rsid w:val="7543006A"/>
    <w:rsid w:val="765833B1"/>
    <w:rsid w:val="76D34A4F"/>
    <w:rsid w:val="771A210A"/>
    <w:rsid w:val="771E2F06"/>
    <w:rsid w:val="7736086A"/>
    <w:rsid w:val="77611D7E"/>
    <w:rsid w:val="77A80139"/>
    <w:rsid w:val="78184E50"/>
    <w:rsid w:val="799B453D"/>
    <w:rsid w:val="79EA51BF"/>
    <w:rsid w:val="7A1702A1"/>
    <w:rsid w:val="7A424D83"/>
    <w:rsid w:val="7AB45B6E"/>
    <w:rsid w:val="7B5A6C37"/>
    <w:rsid w:val="7B664C6B"/>
    <w:rsid w:val="7B9B65B7"/>
    <w:rsid w:val="7BDD610B"/>
    <w:rsid w:val="7BE205FA"/>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 w:type="character" w:customStyle="1" w:styleId="38">
    <w:name w:val="font11"/>
    <w:basedOn w:val="18"/>
    <w:qFormat/>
    <w:uiPriority w:val="0"/>
    <w:rPr>
      <w:rFonts w:hint="eastAsia" w:ascii="宋体" w:hAnsi="宋体" w:eastAsia="宋体" w:cs="宋体"/>
      <w:color w:val="000000"/>
      <w:sz w:val="24"/>
      <w:szCs w:val="24"/>
      <w:u w:val="none"/>
    </w:rPr>
  </w:style>
  <w:style w:type="character" w:customStyle="1" w:styleId="39">
    <w:name w:val="font01"/>
    <w:basedOn w:val="18"/>
    <w:qFormat/>
    <w:uiPriority w:val="0"/>
    <w:rPr>
      <w:rFonts w:hint="eastAsia" w:ascii="宋体" w:hAnsi="宋体" w:eastAsia="宋体" w:cs="宋体"/>
      <w:color w:val="000000"/>
      <w:sz w:val="22"/>
      <w:szCs w:val="22"/>
      <w:u w:val="none"/>
    </w:rPr>
  </w:style>
  <w:style w:type="character" w:customStyle="1" w:styleId="40">
    <w:name w:val="font2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2</TotalTime>
  <ScaleCrop>false</ScaleCrop>
  <LinksUpToDate>false</LinksUpToDate>
  <CharactersWithSpaces>12592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黄红宇01</cp:lastModifiedBy>
  <cp:lastPrinted>2020-04-21T01:30:00Z</cp:lastPrinted>
  <dcterms:modified xsi:type="dcterms:W3CDTF">2021-04-09T02:45:54Z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80C9F1D6908046F0952DFE2FCB99B769</vt:lpwstr>
  </property>
</Properties>
</file>