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0"/>
          <w:numId w:val="0"/>
        </w:numPr>
        <w:bidi w:val="0"/>
        <w:ind w:leftChars="0"/>
        <w:rPr>
          <w:rFonts w:hint="eastAsia"/>
          <w:lang w:eastAsia="zh-CN"/>
        </w:rPr>
      </w:pPr>
      <w:bookmarkStart w:id="16" w:name="_GoBack"/>
      <w:bookmarkEnd w:id="16"/>
    </w:p>
    <w:p>
      <w:pP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4"/>
        <w:numPr>
          <w:ilvl w:val="0"/>
          <w:numId w:val="0"/>
        </w:numPr>
        <w:bidi w:val="0"/>
        <w:ind w:leftChars="0"/>
        <w:jc w:val="center"/>
        <w:rPr>
          <w:rFonts w:hint="eastAsia"/>
          <w:sz w:val="80"/>
          <w:szCs w:val="80"/>
          <w:lang w:val="en-US" w:eastAsia="zh-CN"/>
        </w:rPr>
      </w:pPr>
      <w:bookmarkStart w:id="0" w:name="_Toc22701"/>
      <w:bookmarkStart w:id="1" w:name="_Toc362"/>
      <w:bookmarkStart w:id="2" w:name="_Toc8770"/>
      <w:r>
        <w:rPr>
          <w:rFonts w:hint="eastAsia"/>
          <w:sz w:val="80"/>
          <w:szCs w:val="80"/>
          <w:lang w:val="en-US" w:eastAsia="zh-CN"/>
        </w:rPr>
        <w:t>重庆仙女山机场航站楼广告</w:t>
      </w:r>
      <w:bookmarkEnd w:id="0"/>
      <w:bookmarkEnd w:id="1"/>
      <w:bookmarkEnd w:id="2"/>
      <w:r>
        <w:rPr>
          <w:rFonts w:hint="eastAsia"/>
          <w:sz w:val="80"/>
          <w:szCs w:val="80"/>
          <w:lang w:val="en-US" w:eastAsia="zh-CN"/>
        </w:rPr>
        <w:t>技术标准</w:t>
      </w:r>
    </w:p>
    <w:p>
      <w:pPr>
        <w:pStyle w:val="23"/>
        <w:spacing w:after="312" w:afterLines="100" w:line="240" w:lineRule="auto"/>
        <w:rPr>
          <w:rFonts w:hint="eastAsia" w:ascii="宋体" w:hAnsi="宋体"/>
          <w:szCs w:val="52"/>
        </w:rPr>
      </w:pPr>
    </w:p>
    <w:p>
      <w:pPr>
        <w:rPr>
          <w:rFonts w:hint="eastAsia" w:ascii="宋体" w:hAnsi="宋体"/>
        </w:rPr>
      </w:pPr>
    </w:p>
    <w:p>
      <w:pPr>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rPr>
          <w:rFonts w:hint="eastAsia" w:ascii="宋体" w:hAnsi="宋体"/>
        </w:rPr>
      </w:pPr>
    </w:p>
    <w:p>
      <w:pPr>
        <w:pStyle w:val="5"/>
        <w:numPr>
          <w:ilvl w:val="0"/>
          <w:numId w:val="0"/>
        </w:numPr>
        <w:ind w:left="400" w:leftChars="0"/>
        <w:jc w:val="both"/>
        <w:rPr>
          <w:rFonts w:hint="eastAsia" w:ascii="宋体" w:hAnsi="宋体" w:eastAsia="宋体"/>
          <w:sz w:val="44"/>
          <w:szCs w:val="44"/>
        </w:rPr>
      </w:pPr>
    </w:p>
    <w:p>
      <w:pPr>
        <w:pStyle w:val="2"/>
        <w:rPr>
          <w:rFonts w:hint="eastAsia" w:ascii="宋体" w:hAnsi="宋体"/>
          <w:b/>
          <w:sz w:val="36"/>
          <w:szCs w:val="36"/>
        </w:rPr>
      </w:pPr>
    </w:p>
    <w:p>
      <w:pPr>
        <w:pStyle w:val="2"/>
        <w:rPr>
          <w:rFonts w:hint="eastAsia" w:ascii="宋体" w:hAnsi="宋体"/>
          <w:b/>
          <w:sz w:val="36"/>
          <w:szCs w:val="36"/>
        </w:rPr>
      </w:pPr>
    </w:p>
    <w:p>
      <w:pPr>
        <w:rPr>
          <w:rFonts w:hint="eastAsia"/>
          <w:b/>
          <w:sz w:val="36"/>
          <w:szCs w:val="36"/>
          <w:lang w:val="en-US" w:eastAsia="zh-CN"/>
        </w:rPr>
      </w:pPr>
      <w:r>
        <w:rPr>
          <w:rFonts w:hint="eastAsia"/>
          <w:b/>
          <w:sz w:val="36"/>
          <w:szCs w:val="36"/>
          <w:lang w:val="en-US" w:eastAsia="zh-CN"/>
        </w:rPr>
        <w:br w:type="page"/>
      </w:r>
    </w:p>
    <w:p>
      <w:pPr>
        <w:pStyle w:val="2"/>
        <w:jc w:val="center"/>
        <w:rPr>
          <w:rFonts w:hint="eastAsia" w:ascii="宋体" w:hAnsi="宋体" w:eastAsia="仿宋_GB2312"/>
          <w:b/>
          <w:sz w:val="36"/>
          <w:szCs w:val="36"/>
          <w:lang w:val="en-US" w:eastAsia="zh-CN"/>
        </w:rPr>
      </w:pPr>
      <w:r>
        <w:rPr>
          <w:rFonts w:hint="eastAsia"/>
          <w:b/>
          <w:sz w:val="36"/>
          <w:szCs w:val="36"/>
          <w:lang w:val="en-US" w:eastAsia="zh-CN"/>
        </w:rPr>
        <w:t>目  录</w:t>
      </w:r>
    </w:p>
    <w:p>
      <w:pPr>
        <w:pStyle w:val="17"/>
        <w:tabs>
          <w:tab w:val="right" w:leader="dot" w:pos="8306"/>
        </w:tabs>
      </w:pPr>
      <w:r>
        <w:rPr>
          <w:rFonts w:hint="eastAsia" w:asciiTheme="majorEastAsia" w:hAnsiTheme="majorEastAsia" w:eastAsiaTheme="majorEastAsia" w:cstheme="majorEastAsia"/>
          <w:b/>
          <w:sz w:val="32"/>
          <w:szCs w:val="32"/>
        </w:rPr>
        <w:fldChar w:fldCharType="begin"/>
      </w:r>
      <w:r>
        <w:rPr>
          <w:rFonts w:hint="eastAsia" w:asciiTheme="majorEastAsia" w:hAnsiTheme="majorEastAsia" w:eastAsiaTheme="majorEastAsia" w:cstheme="majorEastAsia"/>
          <w:b/>
          <w:sz w:val="32"/>
          <w:szCs w:val="32"/>
        </w:rPr>
        <w:instrText xml:space="preserve">TOC \o "1-1" \h \u </w:instrText>
      </w:r>
      <w:r>
        <w:rPr>
          <w:rFonts w:hint="eastAsia" w:asciiTheme="majorEastAsia" w:hAnsiTheme="majorEastAsia" w:eastAsiaTheme="majorEastAsia" w:cstheme="majorEastAsia"/>
          <w:b/>
          <w:sz w:val="32"/>
          <w:szCs w:val="32"/>
        </w:rPr>
        <w:fldChar w:fldCharType="separate"/>
      </w:r>
    </w:p>
    <w:p>
      <w:pPr>
        <w:pStyle w:val="17"/>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_Toc6435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一、 工程介绍</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_Toc6435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7"/>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_Toc18240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二、 技术参数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_Toc18240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7"/>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_Toc8540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三、 广告牌示意图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_Toc8540 </w:instrText>
      </w:r>
      <w:r>
        <w:rPr>
          <w:rFonts w:hint="eastAsia" w:ascii="仿宋" w:hAnsi="仿宋" w:eastAsia="仿宋" w:cs="仿宋"/>
          <w:sz w:val="32"/>
          <w:szCs w:val="32"/>
        </w:rPr>
        <w:fldChar w:fldCharType="separate"/>
      </w:r>
      <w:r>
        <w:rPr>
          <w:rFonts w:hint="eastAsia" w:ascii="仿宋" w:hAnsi="仿宋" w:eastAsia="仿宋" w:cs="仿宋"/>
          <w:sz w:val="32"/>
          <w:szCs w:val="32"/>
        </w:rPr>
        <w:t>30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7"/>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_Toc20387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四、 广告牌制作图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_Toc20387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7"/>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_Toc4397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五、 广告位汇总清单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_Toc4397 </w:instrText>
      </w:r>
      <w:r>
        <w:rPr>
          <w:rFonts w:hint="eastAsia" w:ascii="仿宋" w:hAnsi="仿宋" w:eastAsia="仿宋" w:cs="仿宋"/>
          <w:sz w:val="32"/>
          <w:szCs w:val="32"/>
        </w:rPr>
        <w:fldChar w:fldCharType="separate"/>
      </w:r>
      <w:r>
        <w:rPr>
          <w:rFonts w:hint="eastAsia" w:ascii="仿宋" w:hAnsi="仿宋" w:eastAsia="仿宋" w:cs="仿宋"/>
          <w:sz w:val="32"/>
          <w:szCs w:val="32"/>
        </w:rPr>
        <w:t>39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jc w:val="center"/>
        <w:rPr>
          <w:rFonts w:hint="eastAsia" w:ascii="Times New Roman" w:hAnsi="Times New Roman" w:eastAsia="宋体" w:cs="Times New Roman"/>
          <w:kern w:val="2"/>
          <w:sz w:val="28"/>
          <w:szCs w:val="28"/>
          <w:lang w:val="en-US" w:eastAsia="zh-CN" w:bidi="ar-SA"/>
        </w:rPr>
      </w:pPr>
      <w:r>
        <w:rPr>
          <w:rFonts w:hint="eastAsia" w:asciiTheme="majorEastAsia" w:hAnsiTheme="majorEastAsia" w:eastAsiaTheme="majorEastAsia" w:cstheme="majorEastAsia"/>
          <w:szCs w:val="32"/>
        </w:rPr>
        <w:fldChar w:fldCharType="end"/>
      </w:r>
    </w:p>
    <w:p>
      <w:pPr>
        <w:rPr>
          <w:rFonts w:hint="eastAsia" w:ascii="宋体" w:hAnsi="宋体" w:eastAsia="宋体"/>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bidi w:val="0"/>
        <w:ind w:left="0" w:leftChars="0" w:firstLine="0" w:firstLineChars="0"/>
        <w:rPr>
          <w:rFonts w:hint="eastAsia"/>
          <w:lang w:val="en-US" w:eastAsia="zh-CN"/>
        </w:rPr>
      </w:pPr>
      <w:bookmarkStart w:id="3" w:name="_Toc6435"/>
      <w:r>
        <w:rPr>
          <w:rFonts w:hint="eastAsia"/>
          <w:lang w:val="en-US" w:eastAsia="zh-CN"/>
        </w:rPr>
        <w:t>工程介绍</w:t>
      </w:r>
      <w:bookmarkEnd w:id="3"/>
    </w:p>
    <w:p>
      <w:pPr>
        <w:pStyle w:val="5"/>
        <w:bidi w:val="0"/>
        <w:ind w:left="0" w:leftChars="0" w:firstLine="0" w:firstLineChars="0"/>
        <w:rPr>
          <w:rFonts w:hint="eastAsia"/>
        </w:rPr>
      </w:pPr>
      <w:r>
        <w:rPr>
          <w:rFonts w:hint="eastAsia"/>
        </w:rPr>
        <w:t>工程概况</w:t>
      </w:r>
    </w:p>
    <w:p>
      <w:pPr>
        <w:pStyle w:val="24"/>
        <w:pageBreakBefore w:val="0"/>
        <w:kinsoku/>
        <w:wordWrap/>
        <w:overflowPunct/>
        <w:topLinePunct w:val="0"/>
        <w:autoSpaceDE/>
        <w:autoSpaceDN/>
        <w:bidi w:val="0"/>
        <w:adjustRightInd/>
        <w:snapToGrid/>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项目名称：仙女山机场航站楼广告位（牌）施工</w:t>
      </w:r>
    </w:p>
    <w:p>
      <w:pPr>
        <w:pStyle w:val="24"/>
        <w:pageBreakBefore w:val="0"/>
        <w:kinsoku/>
        <w:wordWrap/>
        <w:overflowPunct/>
        <w:topLinePunct w:val="0"/>
        <w:autoSpaceDE/>
        <w:autoSpaceDN/>
        <w:bidi w:val="0"/>
        <w:adjustRightInd/>
        <w:snapToGrid/>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建设地点：重</w:t>
      </w:r>
      <w:r>
        <w:rPr>
          <w:rFonts w:hint="eastAsia" w:ascii="仿宋" w:hAnsi="仿宋" w:eastAsia="仿宋" w:cs="仿宋"/>
          <w:sz w:val="30"/>
          <w:szCs w:val="30"/>
          <w:lang w:eastAsia="zh-CN"/>
        </w:rPr>
        <w:t>庆市武隆区仙女镇仙女村</w:t>
      </w:r>
    </w:p>
    <w:p>
      <w:pPr>
        <w:pStyle w:val="24"/>
        <w:pageBreakBefore w:val="0"/>
        <w:kinsoku/>
        <w:wordWrap/>
        <w:overflowPunct/>
        <w:topLinePunct w:val="0"/>
        <w:autoSpaceDE/>
        <w:autoSpaceDN/>
        <w:bidi w:val="0"/>
        <w:adjustRightInd/>
        <w:snapToGrid/>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zh-CN"/>
        </w:rPr>
        <w:t>建设内容：</w:t>
      </w:r>
      <w:r>
        <w:rPr>
          <w:rFonts w:hint="eastAsia" w:ascii="仿宋" w:hAnsi="仿宋" w:eastAsia="仿宋" w:cs="仿宋"/>
          <w:sz w:val="30"/>
          <w:szCs w:val="30"/>
          <w:lang w:val="en-US" w:eastAsia="zh-CN"/>
        </w:rPr>
        <w:t>重庆仙女山机场航站楼广告</w:t>
      </w:r>
      <w:r>
        <w:rPr>
          <w:rFonts w:hint="eastAsia" w:ascii="仿宋" w:hAnsi="仿宋" w:eastAsia="仿宋" w:cs="仿宋"/>
          <w:sz w:val="30"/>
          <w:szCs w:val="30"/>
        </w:rPr>
        <w:t>，主要内容为</w:t>
      </w:r>
      <w:r>
        <w:rPr>
          <w:rFonts w:hint="eastAsia" w:ascii="仿宋" w:hAnsi="仿宋" w:eastAsia="仿宋" w:cs="仿宋"/>
          <w:sz w:val="30"/>
          <w:szCs w:val="30"/>
          <w:lang w:val="en-US" w:eastAsia="zh-CN"/>
        </w:rPr>
        <w:t>机场航站楼LED显示屏</w:t>
      </w:r>
      <w:r>
        <w:rPr>
          <w:rFonts w:hint="eastAsia" w:ascii="仿宋" w:hAnsi="仿宋" w:eastAsia="仿宋" w:cs="仿宋"/>
          <w:sz w:val="30"/>
          <w:szCs w:val="30"/>
        </w:rPr>
        <w:t>、</w:t>
      </w:r>
      <w:r>
        <w:rPr>
          <w:rFonts w:hint="eastAsia" w:ascii="仿宋" w:hAnsi="仿宋" w:eastAsia="仿宋" w:cs="仿宋"/>
          <w:sz w:val="30"/>
          <w:szCs w:val="30"/>
          <w:lang w:eastAsia="zh-CN"/>
        </w:rPr>
        <w:t>候机大厅灯箱</w:t>
      </w:r>
      <w:r>
        <w:rPr>
          <w:rFonts w:hint="eastAsia" w:ascii="仿宋" w:hAnsi="仿宋" w:eastAsia="仿宋" w:cs="仿宋"/>
          <w:sz w:val="30"/>
          <w:szCs w:val="30"/>
        </w:rPr>
        <w:t>、</w:t>
      </w:r>
      <w:r>
        <w:rPr>
          <w:rFonts w:hint="eastAsia" w:ascii="仿宋" w:hAnsi="仿宋" w:eastAsia="仿宋" w:cs="仿宋"/>
          <w:sz w:val="30"/>
          <w:szCs w:val="30"/>
          <w:lang w:eastAsia="zh-CN"/>
        </w:rPr>
        <w:t>值机大厅灯箱、行李提取灯箱广告、</w:t>
      </w:r>
      <w:r>
        <w:rPr>
          <w:rFonts w:hint="eastAsia" w:ascii="仿宋" w:hAnsi="仿宋" w:eastAsia="仿宋" w:cs="仿宋"/>
          <w:sz w:val="30"/>
          <w:szCs w:val="30"/>
          <w:lang w:val="en-US" w:eastAsia="zh-CN"/>
        </w:rPr>
        <w:t>航站楼液晶屏广告机</w:t>
      </w:r>
      <w:r>
        <w:rPr>
          <w:rFonts w:hint="eastAsia" w:ascii="仿宋" w:hAnsi="仿宋" w:eastAsia="仿宋" w:cs="仿宋"/>
          <w:sz w:val="30"/>
          <w:szCs w:val="30"/>
        </w:rPr>
        <w:t>。</w:t>
      </w:r>
    </w:p>
    <w:p>
      <w:pPr>
        <w:pStyle w:val="5"/>
        <w:bidi w:val="0"/>
        <w:ind w:left="0" w:leftChars="0" w:firstLine="0" w:firstLineChars="0"/>
        <w:rPr>
          <w:rFonts w:hint="eastAsia"/>
        </w:rPr>
      </w:pPr>
      <w:r>
        <w:rPr>
          <w:rFonts w:hint="eastAsia"/>
        </w:rPr>
        <w:t>编制范围</w:t>
      </w:r>
    </w:p>
    <w:p>
      <w:pPr>
        <w:pStyle w:val="23"/>
        <w:keepNext w:val="0"/>
        <w:keepLines w:val="0"/>
        <w:pageBreakBefore w:val="0"/>
        <w:widowControl/>
        <w:kinsoku/>
        <w:wordWrap/>
        <w:overflowPunct/>
        <w:topLinePunct w:val="0"/>
        <w:autoSpaceDE/>
        <w:autoSpaceDN/>
        <w:bidi w:val="0"/>
        <w:adjustRightInd/>
        <w:snapToGrid/>
        <w:spacing w:line="360" w:lineRule="auto"/>
        <w:ind w:left="0" w:leftChars="0" w:firstLine="600" w:firstLineChars="200"/>
        <w:jc w:val="both"/>
        <w:textAlignment w:val="auto"/>
        <w:rPr>
          <w:rFonts w:hint="eastAsia" w:ascii="仿宋" w:hAnsi="仿宋" w:eastAsia="仿宋" w:cs="仿宋"/>
          <w:b w:val="0"/>
          <w:kern w:val="2"/>
          <w:sz w:val="30"/>
          <w:szCs w:val="30"/>
          <w:lang w:val="en-US" w:eastAsia="zh-CN" w:bidi="ar-SA"/>
        </w:rPr>
      </w:pPr>
      <w:r>
        <w:rPr>
          <w:rFonts w:hint="eastAsia" w:ascii="仿宋" w:hAnsi="仿宋" w:eastAsia="仿宋" w:cs="仿宋"/>
          <w:b w:val="0"/>
          <w:kern w:val="2"/>
          <w:sz w:val="30"/>
          <w:szCs w:val="30"/>
          <w:lang w:val="en-US" w:eastAsia="zh-CN" w:bidi="ar-SA"/>
        </w:rPr>
        <w:t>重庆仙女山机场航站楼广告规划，主要内容为机场航站楼LED显示屏、候机大厅灯箱、值机大厅灯箱、行李提取灯箱广告、航站楼液晶屏广告机。</w:t>
      </w:r>
    </w:p>
    <w:p>
      <w:pPr>
        <w:pStyle w:val="5"/>
        <w:bidi w:val="0"/>
        <w:ind w:left="0" w:leftChars="0" w:firstLine="0" w:firstLineChars="0"/>
        <w:rPr>
          <w:rFonts w:hint="eastAsia"/>
        </w:rPr>
      </w:pPr>
      <w:r>
        <w:rPr>
          <w:rFonts w:hint="eastAsia"/>
        </w:rPr>
        <w:t>编制依据</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根据现场实际情况结合市场价进行编制</w:t>
      </w:r>
      <w:r>
        <w:rPr>
          <w:rFonts w:hint="eastAsia" w:ascii="仿宋" w:hAnsi="仿宋" w:eastAsia="仿宋" w:cs="仿宋"/>
          <w:sz w:val="30"/>
          <w:szCs w:val="30"/>
        </w:rPr>
        <w:t>。</w:t>
      </w:r>
    </w:p>
    <w:p>
      <w:pPr>
        <w:pStyle w:val="5"/>
        <w:bidi w:val="0"/>
        <w:ind w:left="0" w:leftChars="0" w:firstLine="0" w:firstLineChars="0"/>
        <w:rPr>
          <w:rFonts w:hint="eastAsia"/>
        </w:rPr>
      </w:pPr>
      <w:r>
        <w:rPr>
          <w:rFonts w:hint="eastAsia"/>
        </w:rPr>
        <w:t>编制说明</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（1）安全文明施工专项费</w:t>
      </w:r>
      <w:r>
        <w:rPr>
          <w:rFonts w:hint="eastAsia" w:ascii="仿宋" w:hAnsi="仿宋" w:eastAsia="仿宋" w:cs="仿宋"/>
          <w:sz w:val="30"/>
          <w:szCs w:val="30"/>
          <w:lang w:eastAsia="zh-CN"/>
        </w:rPr>
        <w:t>已包含在单价中</w:t>
      </w:r>
      <w:r>
        <w:rPr>
          <w:rFonts w:hint="eastAsia" w:ascii="仿宋" w:hAnsi="仿宋" w:eastAsia="仿宋" w:cs="仿宋"/>
          <w:sz w:val="30"/>
          <w:szCs w:val="30"/>
        </w:rPr>
        <w:t>；</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w:t>
      </w:r>
      <w:r>
        <w:rPr>
          <w:rFonts w:hint="eastAsia" w:ascii="仿宋" w:hAnsi="仿宋" w:eastAsia="仿宋" w:cs="仿宋"/>
          <w:sz w:val="30"/>
          <w:szCs w:val="30"/>
          <w:lang w:val="en-US" w:eastAsia="zh-CN"/>
        </w:rPr>
        <w:t>2</w:t>
      </w:r>
      <w:r>
        <w:rPr>
          <w:rFonts w:hint="eastAsia" w:ascii="仿宋" w:hAnsi="仿宋" w:eastAsia="仿宋" w:cs="仿宋"/>
          <w:sz w:val="30"/>
          <w:szCs w:val="30"/>
        </w:rPr>
        <w:t>）税金按渝建发[201</w:t>
      </w:r>
      <w:r>
        <w:rPr>
          <w:rFonts w:hint="eastAsia" w:ascii="仿宋" w:hAnsi="仿宋" w:eastAsia="仿宋" w:cs="仿宋"/>
          <w:sz w:val="30"/>
          <w:szCs w:val="30"/>
          <w:lang w:val="en-US" w:eastAsia="zh-CN"/>
        </w:rPr>
        <w:t>8</w:t>
      </w:r>
      <w:r>
        <w:rPr>
          <w:rFonts w:hint="eastAsia" w:ascii="仿宋" w:hAnsi="仿宋" w:eastAsia="仿宋" w:cs="仿宋"/>
          <w:sz w:val="30"/>
          <w:szCs w:val="30"/>
        </w:rPr>
        <w:t>]195号《重庆市城乡建设委员会关于适用增值税新税率调整建设工程计价依据的通知》计取费率为1</w:t>
      </w:r>
      <w:r>
        <w:rPr>
          <w:rFonts w:hint="eastAsia" w:ascii="仿宋" w:hAnsi="仿宋" w:eastAsia="仿宋" w:cs="仿宋"/>
          <w:sz w:val="30"/>
          <w:szCs w:val="30"/>
          <w:lang w:val="en-US" w:eastAsia="zh-CN"/>
        </w:rPr>
        <w:t>3</w:t>
      </w:r>
      <w:r>
        <w:rPr>
          <w:rFonts w:hint="eastAsia" w:ascii="仿宋" w:hAnsi="仿宋" w:eastAsia="仿宋" w:cs="仿宋"/>
          <w:sz w:val="30"/>
          <w:szCs w:val="30"/>
        </w:rPr>
        <w:t>%；</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（3）广告位的数量与规格根据现场可调整，最终下单生产前需经建设方确认，并按实结算。建设方保留根据现场情况调整数量与规格的权利。</w:t>
      </w:r>
    </w:p>
    <w:p>
      <w:pPr>
        <w:pStyle w:val="4"/>
        <w:bidi w:val="0"/>
        <w:ind w:left="0" w:leftChars="0" w:firstLine="0" w:firstLineChars="0"/>
        <w:rPr>
          <w:rFonts w:hint="eastAsia"/>
          <w:lang w:val="en-US" w:eastAsia="zh-CN"/>
        </w:rPr>
      </w:pPr>
      <w:bookmarkStart w:id="4" w:name="_Toc18240"/>
      <w:r>
        <w:rPr>
          <w:rFonts w:hint="eastAsia"/>
          <w:lang w:val="en-US" w:eastAsia="zh-CN"/>
        </w:rPr>
        <w:t>技术参数</w:t>
      </w:r>
      <w:bookmarkEnd w:id="4"/>
    </w:p>
    <w:p>
      <w:pPr>
        <w:pStyle w:val="5"/>
        <w:pageBreakBefore w:val="0"/>
        <w:numPr>
          <w:ilvl w:val="1"/>
          <w:numId w:val="0"/>
        </w:numPr>
        <w:kinsoku/>
        <w:wordWrap/>
        <w:overflowPunct/>
        <w:topLinePunct w:val="0"/>
        <w:autoSpaceDE/>
        <w:autoSpaceDN/>
        <w:bidi w:val="0"/>
        <w:adjustRightInd/>
        <w:snapToGrid/>
        <w:spacing w:before="0" w:after="0" w:line="360" w:lineRule="auto"/>
        <w:ind w:left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（一）室内P2.5显示屏技术参数</w:t>
      </w:r>
    </w:p>
    <w:tbl>
      <w:tblPr>
        <w:tblStyle w:val="19"/>
        <w:tblpPr w:leftFromText="180" w:rightFromText="180" w:vertAnchor="text" w:horzAnchor="page" w:tblpXSpec="center" w:tblpY="263"/>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87"/>
        <w:gridCol w:w="6033"/>
        <w:gridCol w:w="88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 xml:space="preserve">序号 </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名称</w:t>
            </w:r>
          </w:p>
        </w:tc>
        <w:tc>
          <w:tcPr>
            <w:tcW w:w="603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参数</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数量</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显示屏</w:t>
            </w:r>
          </w:p>
        </w:tc>
        <w:tc>
          <w:tcPr>
            <w:tcW w:w="603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主屏：显示尺寸：</w:t>
            </w:r>
            <w:r>
              <w:rPr>
                <w:rFonts w:hint="eastAsia" w:ascii="仿宋" w:hAnsi="仿宋" w:eastAsia="仿宋" w:cs="仿宋"/>
                <w:sz w:val="28"/>
                <w:szCs w:val="28"/>
                <w:highlight w:val="none"/>
                <w:lang w:val="en-US" w:eastAsia="zh-CN"/>
              </w:rPr>
              <w:t>4.5</w:t>
            </w:r>
            <w:r>
              <w:rPr>
                <w:rFonts w:hint="eastAsia" w:ascii="仿宋" w:hAnsi="仿宋" w:eastAsia="仿宋" w:cs="仿宋"/>
                <w:sz w:val="28"/>
                <w:szCs w:val="28"/>
                <w:highlight w:val="none"/>
              </w:rPr>
              <w:t>m长*</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m高=</w:t>
            </w:r>
            <w:r>
              <w:rPr>
                <w:rFonts w:hint="eastAsia" w:ascii="仿宋" w:hAnsi="仿宋" w:eastAsia="仿宋" w:cs="仿宋"/>
                <w:sz w:val="28"/>
                <w:szCs w:val="28"/>
                <w:highlight w:val="none"/>
                <w:lang w:val="en-US" w:eastAsia="zh-CN"/>
              </w:rPr>
              <w:t>13.5</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,净屏尺寸：4.48m长*2.88高=12.9m²,</w:t>
            </w:r>
            <w:r>
              <w:rPr>
                <w:rFonts w:hint="eastAsia" w:ascii="仿宋" w:hAnsi="仿宋" w:eastAsia="仿宋" w:cs="仿宋"/>
                <w:sz w:val="28"/>
                <w:szCs w:val="28"/>
                <w:highlight w:val="none"/>
              </w:rPr>
              <w:t>屏体分辨率：</w:t>
            </w:r>
            <w:r>
              <w:rPr>
                <w:rFonts w:hint="eastAsia" w:ascii="仿宋" w:hAnsi="仿宋" w:eastAsia="仿宋" w:cs="仿宋"/>
                <w:sz w:val="28"/>
                <w:szCs w:val="28"/>
                <w:highlight w:val="none"/>
                <w:lang w:val="en-US" w:eastAsia="zh-CN"/>
              </w:rPr>
              <w:t>1758*1152</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像素间距：2.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mm</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点密度：</w:t>
            </w:r>
            <w:r>
              <w:rPr>
                <w:rFonts w:hint="eastAsia" w:ascii="仿宋" w:hAnsi="仿宋" w:eastAsia="仿宋" w:cs="仿宋"/>
                <w:sz w:val="28"/>
                <w:szCs w:val="28"/>
                <w:highlight w:val="none"/>
                <w:lang w:val="en-US" w:eastAsia="zh-CN"/>
              </w:rPr>
              <w:t>160000</w:t>
            </w:r>
            <w:r>
              <w:rPr>
                <w:rFonts w:hint="eastAsia" w:ascii="仿宋" w:hAnsi="仿宋" w:eastAsia="仿宋" w:cs="仿宋"/>
                <w:sz w:val="28"/>
                <w:szCs w:val="28"/>
                <w:highlight w:val="none"/>
              </w:rPr>
              <w:t>点/m²</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LED灯种类：SMD</w:t>
            </w:r>
            <w:r>
              <w:rPr>
                <w:rFonts w:hint="eastAsia" w:ascii="仿宋" w:hAnsi="仿宋" w:eastAsia="仿宋" w:cs="仿宋"/>
                <w:sz w:val="28"/>
                <w:szCs w:val="28"/>
                <w:highlight w:val="none"/>
                <w:lang w:val="en-US" w:eastAsia="zh-CN"/>
              </w:rPr>
              <w:t>2121</w:t>
            </w:r>
            <w:r>
              <w:rPr>
                <w:rFonts w:hint="eastAsia" w:ascii="仿宋" w:hAnsi="仿宋" w:eastAsia="仿宋" w:cs="仿宋"/>
                <w:sz w:val="28"/>
                <w:szCs w:val="28"/>
                <w:highlight w:val="none"/>
              </w:rPr>
              <w:t>,国星金线封装</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像素点组成：1R1G1B</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模组尺寸：320mm×160mm×8mm</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模组分辨率(宽×高)：1</w:t>
            </w:r>
            <w:r>
              <w:rPr>
                <w:rFonts w:hint="eastAsia" w:ascii="仿宋" w:hAnsi="仿宋" w:eastAsia="仿宋" w:cs="仿宋"/>
                <w:sz w:val="28"/>
                <w:szCs w:val="28"/>
                <w:highlight w:val="none"/>
                <w:lang w:val="en-US" w:eastAsia="zh-CN"/>
              </w:rPr>
              <w:t>28</w:t>
            </w:r>
            <w:r>
              <w:rPr>
                <w:rFonts w:hint="eastAsia" w:ascii="仿宋" w:hAnsi="仿宋" w:eastAsia="仿宋" w:cs="仿宋"/>
                <w:sz w:val="28"/>
                <w:szCs w:val="28"/>
                <w:highlight w:val="none"/>
              </w:rPr>
              <w:t>像素×</w:t>
            </w:r>
            <w:r>
              <w:rPr>
                <w:rFonts w:hint="eastAsia" w:ascii="仿宋" w:hAnsi="仿宋" w:eastAsia="仿宋" w:cs="仿宋"/>
                <w:sz w:val="28"/>
                <w:szCs w:val="28"/>
                <w:highlight w:val="none"/>
                <w:lang w:val="en-US" w:eastAsia="zh-CN"/>
              </w:rPr>
              <w:t>64</w:t>
            </w:r>
            <w:r>
              <w:rPr>
                <w:rFonts w:hint="eastAsia" w:ascii="仿宋" w:hAnsi="仿宋" w:eastAsia="仿宋" w:cs="仿宋"/>
                <w:sz w:val="28"/>
                <w:szCs w:val="28"/>
                <w:highlight w:val="none"/>
              </w:rPr>
              <w:t>像素</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亮度：200cd~800cd/m²可调（色温6500K）</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视角：160°/160°（水平视角/垂直）</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平整度：≤0.1mm</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亮度均匀性：≥97%</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色度均匀性：±0.003  Cx,Cy之内</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对比度：5000:1</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防护等级：IP43</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刷新率：≥1920Hz</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换帧频率：≥60Hz</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屏体色温：2000K～9500K可调</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亮度调节方式：手动/自动/程控</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校正：配备亮度与色度逐点校正</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控制距离：超五类双绞网线,超过100米使用光纤传输</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工作电压：AC：110V~240V、50~60Hz</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峰值功率：≤800W/ m²</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平均无故障工作时间：≥8000小时</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LED寿命：10万小时</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离散失控点：≤0.0001，出厂时为0</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连续失控点：0</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盲点率：≤0.0001，出厂时为0</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屏幕温升（使用运行状态）：≤20度</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漏电电流≤1mA；</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模组接触电流值≤1.31mA</w:t>
            </w:r>
          </w:p>
          <w:p>
            <w:pPr>
              <w:keepNext w:val="0"/>
              <w:keepLines w:val="0"/>
              <w:pageBreakBefore w:val="0"/>
              <w:widowControl w:val="0"/>
              <w:numPr>
                <w:ilvl w:val="0"/>
                <w:numId w:val="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rPr>
              <w:t>投标产品要求最大平米功耗≤490W/㎡,支持动态节能，休眠模式功耗≤50W/㎡</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7.04</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接收卡</w:t>
            </w:r>
          </w:p>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p>
        </w:tc>
        <w:tc>
          <w:tcPr>
            <w:tcW w:w="6033" w:type="dxa"/>
            <w:vAlign w:val="center"/>
          </w:tcPr>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集成 16 个标准HUB75 接口，免接HUB；</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 32 扫；</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单卡输出 RGB 数据32组；</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单卡带载像素为 512×256像素；</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支持配置文件回读；</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成熟的热备份和任意换卡；</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支持温度监控;；</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支持网线通讯状态检测；</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支持发送卡状态检测，</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支持DVI信号检测</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支持供电电压检测；</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支持高灰度高刷新；</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支持逐点亮色度校正；</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支持接收卡预存画面设置；</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支持灯板Flash管理；</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支持5pin液晶模块；</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支持固件程序版本回读。</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LED显示屏永不黑屏，控制系统可以冗余热备份，提供相关证明材料，并加盖厂家鲜章</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9</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处理器</w:t>
            </w:r>
          </w:p>
        </w:tc>
        <w:tc>
          <w:tcPr>
            <w:tcW w:w="6033" w:type="dxa"/>
            <w:vAlign w:val="center"/>
          </w:tcPr>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具有完备的视频输入接口，包括 1 路 VGA，1 路 DVI，1 路HDMI，1 路USB播放，选配手机投屏Android子卡；</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可根据显示屏分辨率对输入图像进行逐点缩放；</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视频源一键切换；</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提供无缝的快切和淡入淡出的切换效果，以增强并呈现专业品质的演示画面；</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采用 G4 引擎，画面稳定无闪烁、无扫描线、图像细腻、层次感好；</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根据屏幕所用 LED 的不同特性，实施白平衡校准及色域匹配，确保真实色彩还原；</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HDMI音频输入；外置独立音频输入；</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支持高位阶视频输入，10bit/8bit；</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视频输出带载能力1920*1080像素</w:t>
            </w:r>
            <w:r>
              <w:rPr>
                <w:rFonts w:hint="eastAsia" w:ascii="仿宋" w:hAnsi="仿宋" w:eastAsia="仿宋" w:cs="仿宋"/>
                <w:sz w:val="28"/>
                <w:szCs w:val="28"/>
                <w:highlight w:val="none"/>
                <w:vertAlign w:val="baseline"/>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支持新一代逐点校正技术，校正过程快速高效</w:t>
            </w:r>
            <w:r>
              <w:rPr>
                <w:rFonts w:hint="eastAsia" w:ascii="仿宋" w:hAnsi="仿宋" w:eastAsia="仿宋" w:cs="仿宋"/>
                <w:sz w:val="28"/>
                <w:szCs w:val="28"/>
                <w:highlight w:val="none"/>
                <w:vertAlign w:val="baseline"/>
                <w:lang w:eastAsia="zh-CN"/>
              </w:rPr>
              <w:t>。</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4</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rPr>
              <w:t>高清LED显示系统控制软件</w:t>
            </w:r>
          </w:p>
        </w:tc>
        <w:tc>
          <w:tcPr>
            <w:tcW w:w="603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560" w:firstLineChars="20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以软件为操作平台，配合数据收发卡、监控卡以及多功能卡，实现对 LED 显示屏的智能设置、亮度调节、电源控制、灯点监测、屏体校正和硬件监控，用户在计算机前就能轻松控制显示屏的所有关键信息，使您的显示屏时刻完美展现。</w:t>
            </w:r>
          </w:p>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系统的重要性能如下：</w:t>
            </w:r>
          </w:p>
          <w:p>
            <w:pPr>
              <w:keepNext w:val="0"/>
              <w:keepLines w:val="0"/>
              <w:pageBreakBefore w:val="0"/>
              <w:widowControl w:val="0"/>
              <w:numPr>
                <w:ilvl w:val="0"/>
                <w:numId w:val="5"/>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LED显示屏可实时监控显示屏工作状态，具有故障自动告警功能，发生故障立即发消息到指定邮箱，及时处理</w:t>
            </w:r>
            <w:r>
              <w:rPr>
                <w:rFonts w:hint="eastAsia" w:ascii="仿宋" w:hAnsi="仿宋" w:eastAsia="仿宋" w:cs="仿宋"/>
                <w:sz w:val="28"/>
                <w:szCs w:val="28"/>
                <w:highlight w:val="none"/>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LED显示屏具有多点测温系统,均衡散热，防止局部温度过高造成色彩漂移，并提高显示屏寿命</w:t>
            </w:r>
            <w:r>
              <w:rPr>
                <w:rFonts w:hint="eastAsia" w:ascii="仿宋" w:hAnsi="仿宋" w:eastAsia="仿宋" w:cs="仿宋"/>
                <w:sz w:val="28"/>
                <w:szCs w:val="28"/>
                <w:highlight w:val="none"/>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lang w:eastAsia="zh-CN"/>
              </w:rPr>
            </w:pPr>
            <w:r>
              <w:rPr>
                <w:rFonts w:hint="eastAsia" w:ascii="仿宋" w:hAnsi="仿宋" w:eastAsia="仿宋" w:cs="仿宋"/>
                <w:sz w:val="28"/>
                <w:szCs w:val="28"/>
                <w:highlight w:val="none"/>
              </w:rPr>
              <w:t>LED显示屏具有电源温度控制系统，提供电源实时温度监控，超出设定温度自动报警，防止过温失效</w:t>
            </w:r>
            <w:r>
              <w:rPr>
                <w:rFonts w:hint="eastAsia" w:ascii="仿宋" w:hAnsi="仿宋" w:eastAsia="仿宋" w:cs="仿宋"/>
                <w:sz w:val="28"/>
                <w:szCs w:val="28"/>
                <w:highlight w:val="none"/>
                <w:lang w:eastAsia="zh-CN"/>
              </w:rPr>
              <w:t>。</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5</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rPr>
              <w:t>电子显示屏多媒体播放软件</w:t>
            </w:r>
          </w:p>
        </w:tc>
        <w:tc>
          <w:tcPr>
            <w:tcW w:w="603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firstLine="560" w:firstLineChars="20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具有以下重要特性：</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多显示屏导播；远程显示屏管理；多日期多时段调度功能；多节目页功能；节目页多窗口功能；</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多种媒体类型：支持视频，音频、图片、Flash、自定义文本、单行文本、静态文本、走马灯、模拟时钟、数字时钟、天气预报、计时、视频设备、网页、温湿度，流媒体，RSS、Vista时钟、数码计时表等；</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丰富的媒体属性：支持媒体的背景颜色、背景图片、透明度、音量、显示比例、出入场特效、特效速度、文字颜色、文字效果、字体、风格、透明等属性设置；</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多种文字图片特效，平滑流畅；防止视频长时间播放卡死功能；页面流畅切换：不同布局的两个节目页切换时不会出现黑屏；</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透明时钟、文字、走马灯、支持时钟、倒计时、文字、文件、天气预报的透明播放；</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网页的指定区域实时显示，实时显示网页的指定区域；</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快速预览功能；定时和周期插播；同步播放，实现多台异地显示屏同步播放；PPT播放功能；紧急插播和即时通知功能；</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现场安全机制：计算机锁定功能，锁定后，计算机的键盘和鼠标将失去作用；</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严重故障的自我恢复功能；开机自启动和启动自动播放；自带解码器包，支持多种常用格式视频；</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具备LED节目播放计划列表功能；无线节目点播功能；多语言管理功能。</w:t>
            </w:r>
          </w:p>
          <w:p>
            <w:pPr>
              <w:keepNext w:val="0"/>
              <w:keepLines w:val="0"/>
              <w:pageBreakBefore w:val="0"/>
              <w:widowControl w:val="0"/>
              <w:numPr>
                <w:ilvl w:val="0"/>
                <w:numId w:val="6"/>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rPr>
              <w:t>实用的日志管理功能；硬盘备份功能；U盘即插播放功能；方案导出到U盘绑定MAC地址。</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6</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电脑</w:t>
            </w:r>
          </w:p>
        </w:tc>
        <w:tc>
          <w:tcPr>
            <w:tcW w:w="603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eastAsia="zh-CN"/>
              </w:rPr>
            </w:pPr>
            <w:r>
              <w:rPr>
                <w:rFonts w:hint="eastAsia" w:ascii="仿宋" w:hAnsi="仿宋" w:eastAsia="仿宋" w:cs="仿宋"/>
                <w:sz w:val="28"/>
                <w:szCs w:val="28"/>
                <w:highlight w:val="none"/>
                <w:vertAlign w:val="baseline"/>
                <w:lang w:eastAsia="zh-CN"/>
              </w:rPr>
              <w:t>不低于：</w:t>
            </w:r>
          </w:p>
          <w:p>
            <w:pPr>
              <w:keepNext w:val="0"/>
              <w:keepLines w:val="0"/>
              <w:pageBreakBefore w:val="0"/>
              <w:widowControl w:val="0"/>
              <w:kinsoku/>
              <w:wordWrap/>
              <w:overflowPunct/>
              <w:topLinePunct w:val="0"/>
              <w:autoSpaceDE/>
              <w:autoSpaceDN/>
              <w:bidi w:val="0"/>
              <w:adjustRightInd/>
              <w:snapToGrid w:val="0"/>
              <w:spacing w:line="312" w:lineRule="auto"/>
              <w:ind w:left="0" w:leftChars="0" w:firstLine="560" w:firstLineChars="20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酷睿CPU型号:i5-7400；核心数:四核；显卡显存容量:独立2GB；内存容量:16GB；速度:DDR4；硬盘容量:1TB/128G SSD</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7</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电源</w:t>
            </w:r>
          </w:p>
        </w:tc>
        <w:tc>
          <w:tcPr>
            <w:tcW w:w="6033" w:type="dxa"/>
            <w:vAlign w:val="center"/>
          </w:tcPr>
          <w:p>
            <w:pPr>
              <w:keepNext w:val="0"/>
              <w:keepLines w:val="0"/>
              <w:pageBreakBefore w:val="0"/>
              <w:widowControl w:val="0"/>
              <w:numPr>
                <w:ilvl w:val="0"/>
                <w:numId w:val="7"/>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5V40A，200W，厚度≤3CM；</w:t>
            </w:r>
          </w:p>
          <w:p>
            <w:pPr>
              <w:keepNext w:val="0"/>
              <w:keepLines w:val="0"/>
              <w:pageBreakBefore w:val="0"/>
              <w:widowControl w:val="0"/>
              <w:numPr>
                <w:ilvl w:val="0"/>
                <w:numId w:val="7"/>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保护功能: 短路保护(SCP) ，过流保护(OCP)</w:t>
            </w:r>
            <w:r>
              <w:rPr>
                <w:rFonts w:hint="eastAsia" w:ascii="仿宋" w:hAnsi="仿宋" w:eastAsia="仿宋" w:cs="仿宋"/>
                <w:sz w:val="28"/>
                <w:szCs w:val="28"/>
                <w:highlight w:val="none"/>
                <w:vertAlign w:val="baseline"/>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工作温度范围:-40'C to +70*C</w:t>
            </w:r>
            <w:r>
              <w:rPr>
                <w:rFonts w:hint="eastAsia" w:ascii="仿宋" w:hAnsi="仿宋" w:eastAsia="仿宋" w:cs="仿宋"/>
                <w:sz w:val="28"/>
                <w:szCs w:val="28"/>
                <w:highlight w:val="none"/>
                <w:vertAlign w:val="baseline"/>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高效率，长寿命和高可靠性</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8</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 xml:space="preserve">安装背架及附件 </w:t>
            </w:r>
          </w:p>
        </w:tc>
        <w:tc>
          <w:tcPr>
            <w:tcW w:w="6033" w:type="dxa"/>
            <w:vAlign w:val="center"/>
          </w:tcPr>
          <w:p>
            <w:pPr>
              <w:keepNext w:val="0"/>
              <w:keepLines w:val="0"/>
              <w:pageBreakBefore w:val="0"/>
              <w:widowControl w:val="0"/>
              <w:numPr>
                <w:ilvl w:val="0"/>
                <w:numId w:val="8"/>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主体结构的设计使用年限：20年；</w:t>
            </w:r>
          </w:p>
          <w:p>
            <w:pPr>
              <w:keepNext w:val="0"/>
              <w:keepLines w:val="0"/>
              <w:pageBreakBefore w:val="0"/>
              <w:widowControl w:val="0"/>
              <w:numPr>
                <w:ilvl w:val="0"/>
                <w:numId w:val="8"/>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主要荷载参数：</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恒载：显示屏自重0.4KN/㎡；</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jc w:val="both"/>
              <w:textAlignment w:val="auto"/>
              <w:rPr>
                <w:rFonts w:hint="eastAsia" w:ascii="仿宋" w:hAnsi="仿宋" w:eastAsia="仿宋" w:cs="仿宋"/>
                <w:sz w:val="28"/>
                <w:szCs w:val="28"/>
                <w:highlight w:val="none"/>
                <w:vertAlign w:val="baseline"/>
                <w:lang w:eastAsia="zh-CN"/>
              </w:rPr>
            </w:pPr>
            <w:r>
              <w:rPr>
                <w:rFonts w:hint="eastAsia" w:ascii="仿宋" w:hAnsi="仿宋" w:eastAsia="仿宋" w:cs="仿宋"/>
                <w:sz w:val="28"/>
                <w:szCs w:val="28"/>
                <w:highlight w:val="none"/>
                <w:vertAlign w:val="baseline"/>
              </w:rPr>
              <w:t>活载：施工或检修集中荷载1.0KN/㎡</w:t>
            </w:r>
            <w:r>
              <w:rPr>
                <w:rFonts w:hint="eastAsia" w:ascii="仿宋" w:hAnsi="仿宋" w:eastAsia="仿宋" w:cs="仿宋"/>
                <w:sz w:val="28"/>
                <w:szCs w:val="28"/>
                <w:highlight w:val="none"/>
                <w:vertAlign w:val="baseline"/>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材料要求：构件均采用Q235B钢，其力学性能及碳、硫、磷含量必符合GB700-88的规定，钢材均符合国家标准；</w:t>
            </w:r>
          </w:p>
          <w:p>
            <w:pPr>
              <w:keepNext w:val="0"/>
              <w:keepLines w:val="0"/>
              <w:pageBreakBefore w:val="0"/>
              <w:widowControl w:val="0"/>
              <w:numPr>
                <w:ilvl w:val="0"/>
                <w:numId w:val="8"/>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焊接村料：焊条、手工焊时为E43xx型焊条，其性能应符合《碳钢焊条》（GB/T5117-95）之相关规定；结构焊结点必须按照图纸要求焊结，确保结构无虚焊、脱焊，保证结构永久安全，金属表面均做防腐处理，喷涂2遍防腐底漆，外罩一遍面漆</w:t>
            </w:r>
            <w:r>
              <w:rPr>
                <w:rFonts w:hint="eastAsia" w:ascii="仿宋" w:hAnsi="仿宋" w:eastAsia="仿宋" w:cs="仿宋"/>
                <w:sz w:val="28"/>
                <w:szCs w:val="28"/>
                <w:highlight w:val="none"/>
                <w:vertAlign w:val="baseline"/>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 xml:space="preserve">为保证结构安全、稳固、责任明确，屏幕钢结构由LED屏幕制造商施工。 </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9</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紧固件及装饰部件</w:t>
            </w:r>
          </w:p>
        </w:tc>
        <w:tc>
          <w:tcPr>
            <w:tcW w:w="6033" w:type="dxa"/>
            <w:vAlign w:val="center"/>
          </w:tcPr>
          <w:p>
            <w:pPr>
              <w:keepNext w:val="0"/>
              <w:keepLines w:val="0"/>
              <w:pageBreakBefore w:val="0"/>
              <w:widowControl w:val="0"/>
              <w:numPr>
                <w:ilvl w:val="0"/>
                <w:numId w:val="9"/>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紧固件：主体结构安装所使用紧固件需满足0.25%＜C%≤0.6%号钢材标准，化学锚栓需满足GB22795-2008标准；</w:t>
            </w:r>
          </w:p>
          <w:p>
            <w:pPr>
              <w:keepNext w:val="0"/>
              <w:keepLines w:val="0"/>
              <w:pageBreakBefore w:val="0"/>
              <w:widowControl w:val="0"/>
              <w:numPr>
                <w:ilvl w:val="0"/>
                <w:numId w:val="9"/>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 xml:space="preserve">装饰部件：所有材料均符合国家标准，无毒、防火、阻燃、环保。 </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线材</w:t>
            </w:r>
          </w:p>
        </w:tc>
        <w:tc>
          <w:tcPr>
            <w:tcW w:w="6033" w:type="dxa"/>
            <w:vAlign w:val="center"/>
          </w:tcPr>
          <w:p>
            <w:pPr>
              <w:keepNext w:val="0"/>
              <w:keepLines w:val="0"/>
              <w:pageBreakBefore w:val="0"/>
              <w:widowControl w:val="0"/>
              <w:numPr>
                <w:ilvl w:val="0"/>
                <w:numId w:val="10"/>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rPr>
            </w:pPr>
            <w:r>
              <w:rPr>
                <w:rFonts w:hint="eastAsia" w:ascii="仿宋" w:hAnsi="仿宋" w:eastAsia="仿宋" w:cs="仿宋"/>
                <w:sz w:val="28"/>
                <w:szCs w:val="28"/>
                <w:highlight w:val="none"/>
                <w:vertAlign w:val="baseline"/>
              </w:rPr>
              <w:t>屏体内部供电线缆：国标RVV3*2.5mm2纯铜线缆（含布线及线管敷设）；</w:t>
            </w:r>
          </w:p>
          <w:p>
            <w:pPr>
              <w:keepNext w:val="0"/>
              <w:keepLines w:val="0"/>
              <w:pageBreakBefore w:val="0"/>
              <w:widowControl w:val="0"/>
              <w:numPr>
                <w:ilvl w:val="0"/>
                <w:numId w:val="10"/>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vertAlign w:val="baseline"/>
                <w:lang w:eastAsia="zh-CN"/>
              </w:rPr>
            </w:pPr>
            <w:r>
              <w:rPr>
                <w:rFonts w:hint="eastAsia" w:ascii="仿宋" w:hAnsi="仿宋" w:eastAsia="仿宋" w:cs="仿宋"/>
                <w:sz w:val="28"/>
                <w:szCs w:val="28"/>
                <w:highlight w:val="none"/>
                <w:vertAlign w:val="baseline"/>
              </w:rPr>
              <w:t>屏体内部通迅网线：国标6类双绞网线（含布线及线管敷设）</w:t>
            </w:r>
            <w:r>
              <w:rPr>
                <w:rFonts w:hint="eastAsia" w:ascii="仿宋" w:hAnsi="仿宋" w:eastAsia="仿宋" w:cs="仿宋"/>
                <w:sz w:val="28"/>
                <w:szCs w:val="28"/>
                <w:highlight w:val="none"/>
                <w:vertAlign w:val="baseline"/>
                <w:lang w:eastAsia="zh-CN"/>
              </w:rPr>
              <w:t>。</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11</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设备包装、运输、保险</w:t>
            </w:r>
          </w:p>
        </w:tc>
        <w:tc>
          <w:tcPr>
            <w:tcW w:w="6033" w:type="dxa"/>
            <w:vAlign w:val="center"/>
          </w:tcPr>
          <w:p>
            <w:pPr>
              <w:keepNext w:val="0"/>
              <w:keepLines w:val="0"/>
              <w:pageBreakBefore w:val="0"/>
              <w:widowControl w:val="0"/>
              <w:numPr>
                <w:ilvl w:val="0"/>
                <w:numId w:val="11"/>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内包装：按电子产品包装规范执行，凡未按要求包装的采购单位有权拒收货物，由此造成的损失由供应商承担；</w:t>
            </w:r>
          </w:p>
          <w:p>
            <w:pPr>
              <w:keepNext w:val="0"/>
              <w:keepLines w:val="0"/>
              <w:pageBreakBefore w:val="0"/>
              <w:widowControl w:val="0"/>
              <w:numPr>
                <w:ilvl w:val="0"/>
                <w:numId w:val="11"/>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外包装：纸箱+木托架；</w:t>
            </w:r>
          </w:p>
          <w:p>
            <w:pPr>
              <w:keepNext w:val="0"/>
              <w:keepLines w:val="0"/>
              <w:pageBreakBefore w:val="0"/>
              <w:widowControl w:val="0"/>
              <w:numPr>
                <w:ilvl w:val="0"/>
                <w:numId w:val="11"/>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运输：选择安全正规格的运输企业；</w:t>
            </w:r>
          </w:p>
          <w:p>
            <w:pPr>
              <w:keepNext w:val="0"/>
              <w:keepLines w:val="0"/>
              <w:pageBreakBefore w:val="0"/>
              <w:widowControl w:val="0"/>
              <w:numPr>
                <w:ilvl w:val="0"/>
                <w:numId w:val="11"/>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保险：设备运输应按设备价值投保，保障设备运输造成的各类损失。</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12</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售后服务</w:t>
            </w:r>
          </w:p>
        </w:tc>
        <w:tc>
          <w:tcPr>
            <w:tcW w:w="6033" w:type="dxa"/>
            <w:vAlign w:val="center"/>
          </w:tcPr>
          <w:p>
            <w:pPr>
              <w:keepNext w:val="0"/>
              <w:keepLines w:val="0"/>
              <w:pageBreakBefore w:val="0"/>
              <w:widowControl w:val="0"/>
              <w:numPr>
                <w:ilvl w:val="0"/>
                <w:numId w:val="1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质保：贰年</w:t>
            </w:r>
          </w:p>
          <w:p>
            <w:pPr>
              <w:keepNext w:val="0"/>
              <w:keepLines w:val="0"/>
              <w:pageBreakBefore w:val="0"/>
              <w:widowControl w:val="0"/>
              <w:numPr>
                <w:ilvl w:val="0"/>
                <w:numId w:val="1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服务性质：免费上门服务</w:t>
            </w:r>
          </w:p>
          <w:p>
            <w:pPr>
              <w:keepNext w:val="0"/>
              <w:keepLines w:val="0"/>
              <w:pageBreakBefore w:val="0"/>
              <w:widowControl w:val="0"/>
              <w:numPr>
                <w:ilvl w:val="0"/>
                <w:numId w:val="12"/>
              </w:numPr>
              <w:kinsoku/>
              <w:wordWrap/>
              <w:overflowPunct/>
              <w:topLinePunct w:val="0"/>
              <w:autoSpaceDE/>
              <w:autoSpaceDN/>
              <w:bidi w:val="0"/>
              <w:adjustRightInd/>
              <w:snapToGrid w:val="0"/>
              <w:spacing w:line="312" w:lineRule="auto"/>
              <w:ind w:left="425" w:leftChars="0" w:hanging="425" w:firstLineChars="0"/>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服务内容：免费更换或维修合同所包含的所有清单内容</w:t>
            </w:r>
            <w:r>
              <w:rPr>
                <w:rFonts w:hint="eastAsia" w:ascii="仿宋" w:hAnsi="仿宋" w:eastAsia="仿宋" w:cs="仿宋"/>
                <w:sz w:val="28"/>
                <w:szCs w:val="28"/>
                <w:highlight w:val="none"/>
                <w:lang w:eastAsia="zh-CN"/>
              </w:rPr>
              <w:t>。</w:t>
            </w:r>
          </w:p>
        </w:tc>
        <w:tc>
          <w:tcPr>
            <w:tcW w:w="88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w:t>
            </w:r>
          </w:p>
        </w:tc>
        <w:tc>
          <w:tcPr>
            <w:tcW w:w="840" w:type="dxa"/>
            <w:vAlign w:val="center"/>
          </w:tcPr>
          <w:p>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both"/>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项</w:t>
            </w:r>
          </w:p>
        </w:tc>
      </w:tr>
    </w:tbl>
    <w:p>
      <w:pPr>
        <w:pageBreakBefore w:val="0"/>
        <w:kinsoku/>
        <w:wordWrap/>
        <w:overflowPunct/>
        <w:topLinePunct w:val="0"/>
        <w:autoSpaceDE/>
        <w:autoSpaceDN/>
        <w:bidi w:val="0"/>
        <w:adjustRightInd/>
        <w:snapToGrid/>
        <w:spacing w:line="360" w:lineRule="auto"/>
        <w:ind w:left="0" w:leftChars="0" w:firstLine="602" w:firstLineChars="200"/>
        <w:rPr>
          <w:rFonts w:hint="eastAsia" w:ascii="仿宋" w:hAnsi="仿宋" w:eastAsia="仿宋" w:cs="仿宋"/>
          <w:b/>
          <w:bCs/>
          <w:sz w:val="30"/>
          <w:szCs w:val="30"/>
        </w:rPr>
      </w:pPr>
      <w:r>
        <w:rPr>
          <w:rFonts w:hint="eastAsia" w:ascii="仿宋" w:hAnsi="仿宋" w:eastAsia="仿宋" w:cs="仿宋"/>
          <w:b/>
          <w:bCs/>
          <w:sz w:val="30"/>
          <w:szCs w:val="30"/>
        </w:rPr>
        <w:t>注：以上</w:t>
      </w:r>
      <w:r>
        <w:rPr>
          <w:rFonts w:hint="eastAsia" w:ascii="仿宋" w:hAnsi="仿宋" w:eastAsia="仿宋" w:cs="仿宋"/>
          <w:b/>
          <w:bCs/>
          <w:sz w:val="30"/>
          <w:szCs w:val="30"/>
          <w:lang w:eastAsia="zh-CN"/>
        </w:rPr>
        <w:t>技术标准要求的主要</w:t>
      </w:r>
      <w:r>
        <w:rPr>
          <w:rFonts w:hint="eastAsia" w:ascii="仿宋" w:hAnsi="仿宋" w:eastAsia="仿宋" w:cs="仿宋"/>
          <w:b/>
          <w:bCs/>
          <w:sz w:val="30"/>
          <w:szCs w:val="30"/>
        </w:rPr>
        <w:t>参数须提供第三方检测机构检测报告。</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b/>
          <w:bCs/>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LED灯珠采用SMD1515RGB三合一表贴封装，为保证灯珠质量，要求</w:t>
      </w:r>
      <w:r>
        <w:rPr>
          <w:rFonts w:hint="eastAsia" w:ascii="仿宋" w:hAnsi="仿宋" w:eastAsia="仿宋" w:cs="仿宋"/>
          <w:b/>
          <w:bCs/>
          <w:sz w:val="30"/>
          <w:szCs w:val="30"/>
        </w:rPr>
        <w:t>供应商交货时提供封装厂家金线封装证明文件。</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eastAsia" w:ascii="仿宋" w:hAnsi="仿宋" w:eastAsia="仿宋" w:cs="仿宋"/>
          <w:sz w:val="30"/>
          <w:szCs w:val="30"/>
        </w:rPr>
        <w:t>投标产品要求符合GB4793标准、GB/T 4857.7标准、GB9254-2008 CLASS B级标准、IEC801标准（提供相关检测项第三方权威检测机构出具的检测报告复印件）</w:t>
      </w:r>
      <w:r>
        <w:rPr>
          <w:rFonts w:hint="eastAsia" w:ascii="仿宋" w:hAnsi="仿宋" w:eastAsia="仿宋" w:cs="仿宋"/>
          <w:sz w:val="30"/>
          <w:szCs w:val="30"/>
          <w:lang w:eastAsia="zh-CN"/>
        </w:rPr>
        <w:t>。</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依据SJ/T 11141-2017投标产品亮度鉴别等级需符合C级标准（提供相关检测项第三方权威检测机构出具的检测报告复印件）</w:t>
      </w:r>
      <w:r>
        <w:rPr>
          <w:rFonts w:hint="eastAsia" w:ascii="仿宋" w:hAnsi="仿宋" w:eastAsia="仿宋" w:cs="仿宋"/>
          <w:sz w:val="30"/>
          <w:szCs w:val="30"/>
          <w:lang w:eastAsia="zh-CN"/>
        </w:rPr>
        <w:t>。</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投标产品要求通过电磁兼容测试标准中，静电放电、电快速瞬变脉冲群、传导抗扰度试验、辐射抗扰度试验、工频磁场、浪涌、电压暂降和短时中断等相关检测，以满足安全特性的使用要求（提供相关检测项第三方权威检测机构出具的检测报告复印件）</w:t>
      </w:r>
      <w:r>
        <w:rPr>
          <w:rFonts w:hint="eastAsia" w:ascii="仿宋" w:hAnsi="仿宋" w:eastAsia="仿宋" w:cs="仿宋"/>
          <w:sz w:val="30"/>
          <w:szCs w:val="30"/>
          <w:lang w:eastAsia="zh-CN"/>
        </w:rPr>
        <w:t>。</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投标产品要求符合IEC TR 62778:2014 LED蓝光危害，与EN 62471:2008 LED光生物安全检测标准，通过 LED蓝光危害相关检测报告（提供相关检测项的第三方权威检测机构出具的检测报告复印件）</w:t>
      </w:r>
      <w:r>
        <w:rPr>
          <w:rFonts w:hint="eastAsia" w:ascii="仿宋" w:hAnsi="仿宋" w:eastAsia="仿宋" w:cs="仿宋"/>
          <w:sz w:val="30"/>
          <w:szCs w:val="30"/>
          <w:lang w:eastAsia="zh-CN"/>
        </w:rPr>
        <w:t>。</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LED显示屏生产厂家需通过ISO9001:2015、GB/T24001-2016/ISO14001:2015、GB/T28001-2011/OHSAS18001:2007、GB/T22080-2016/ISO/IEC27001:2013、ISO/IEC20000-1:2011体系认证证书。</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为保证产品的质量，LED显示屏生产厂家需通过3C认证、CE认证，ROHS、FCC</w:t>
      </w:r>
      <w:r>
        <w:rPr>
          <w:rFonts w:hint="eastAsia" w:ascii="仿宋" w:hAnsi="仿宋" w:eastAsia="仿宋" w:cs="仿宋"/>
          <w:sz w:val="30"/>
          <w:szCs w:val="30"/>
          <w:lang w:eastAsia="zh-CN"/>
        </w:rPr>
        <w:t>。</w:t>
      </w:r>
    </w:p>
    <w:p>
      <w:pPr>
        <w:pStyle w:val="5"/>
        <w:pageBreakBefore w:val="0"/>
        <w:numPr>
          <w:ilvl w:val="1"/>
          <w:numId w:val="0"/>
        </w:numPr>
        <w:kinsoku/>
        <w:wordWrap/>
        <w:overflowPunct/>
        <w:topLinePunct w:val="0"/>
        <w:autoSpaceDE/>
        <w:autoSpaceDN/>
        <w:bidi w:val="0"/>
        <w:adjustRightInd/>
        <w:snapToGrid/>
        <w:spacing w:before="0" w:after="0" w:line="360" w:lineRule="auto"/>
        <w:ind w:left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（二）55寸立式广告机参数</w:t>
      </w:r>
    </w:p>
    <w:tbl>
      <w:tblPr>
        <w:tblStyle w:val="18"/>
        <w:tblW w:w="95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2064"/>
        <w:gridCol w:w="1319"/>
        <w:gridCol w:w="6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55寸液晶广告机规格参数（立式竖屏）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产品主要特点：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1：一台服务器，最大可控制多台机器。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2：支持WIFI、AP、CDMA、3G等各种无线网的接入。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3：针对没有固定域名的用户，提供免费域名的支持。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4：支持动态域名解析。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5：多国语言支持：中文（简、繁体）、英文。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6：自由分屏功能，可把屏幕自动分割成多个显示区域。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7：支持动态域名解析，支持数据库操作，能动态查看广告机在线与离线状态。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8：支持分屏播放，屏幕可划分为多个显示区域，分别用于不同内容的播放，客户端免维护，客户端软件可在线升级。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9：内置大功率立体扬声器，接电源可以自动循环播放（当卡槽里有卡时）无需人工操作。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规格参数：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2064"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highlight w:val="yellow"/>
                <w:u w:val="none"/>
              </w:rPr>
            </w:pPr>
            <w:r>
              <w:rPr>
                <w:rFonts w:hint="eastAsia" w:ascii="仿宋" w:hAnsi="仿宋" w:eastAsia="仿宋" w:cs="仿宋"/>
                <w:i w:val="0"/>
                <w:color w:val="000000"/>
                <w:kern w:val="0"/>
                <w:sz w:val="30"/>
                <w:szCs w:val="30"/>
                <w:highlight w:val="yellow"/>
                <w:u w:val="none"/>
                <w:lang w:val="en-US" w:eastAsia="zh-CN" w:bidi="ar"/>
              </w:rPr>
              <w:t>面板品牌</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highlight w:val="yellow"/>
                <w:u w:val="none"/>
              </w:rPr>
            </w:pPr>
            <w:r>
              <w:rPr>
                <w:rFonts w:hint="eastAsia" w:ascii="仿宋" w:hAnsi="仿宋" w:eastAsia="仿宋" w:cs="仿宋"/>
                <w:i w:val="0"/>
                <w:color w:val="000000"/>
                <w:kern w:val="0"/>
                <w:sz w:val="30"/>
                <w:szCs w:val="30"/>
                <w:highlight w:val="yellow"/>
                <w:u w:val="none"/>
                <w:lang w:val="en-US" w:eastAsia="zh-CN" w:bidi="ar"/>
              </w:rPr>
              <w:t>LG，京东方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面板尺寸</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55英寸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分辨率</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1920*1080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highlight w:val="yellow"/>
                <w:u w:val="none"/>
              </w:rPr>
            </w:pPr>
            <w:r>
              <w:rPr>
                <w:rFonts w:hint="eastAsia" w:ascii="仿宋" w:hAnsi="仿宋" w:eastAsia="仿宋" w:cs="仿宋"/>
                <w:i w:val="0"/>
                <w:color w:val="000000"/>
                <w:kern w:val="0"/>
                <w:sz w:val="30"/>
                <w:szCs w:val="30"/>
                <w:highlight w:val="yellow"/>
                <w:u w:val="none"/>
                <w:lang w:val="en-US" w:eastAsia="zh-CN" w:bidi="ar"/>
              </w:rPr>
              <w:t>显示尺寸</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highlight w:val="yellow"/>
                <w:u w:val="none"/>
              </w:rPr>
            </w:pPr>
            <w:r>
              <w:rPr>
                <w:rFonts w:hint="eastAsia" w:ascii="仿宋" w:hAnsi="仿宋" w:eastAsia="仿宋" w:cs="仿宋"/>
                <w:i w:val="0"/>
                <w:color w:val="000000"/>
                <w:kern w:val="0"/>
                <w:sz w:val="30"/>
                <w:szCs w:val="30"/>
                <w:highlight w:val="yellow"/>
                <w:u w:val="none"/>
                <w:lang w:val="en-US" w:eastAsia="zh-CN" w:bidi="ar"/>
              </w:rPr>
              <w:t>宽681mm*高1210mm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亮度</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300cd/m2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响应时间</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2064"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驱动板</w:t>
            </w: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处理器</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瑞芯微 四核 Cortex-RK3128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内存</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1G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存储</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8G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接口类型</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USB*2，MIC-IN×1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064"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电源板</w:t>
            </w: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电压</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AC100~240V 50 /60 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最大功率</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≦80W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06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p>
        </w:tc>
        <w:tc>
          <w:tcPr>
            <w:tcW w:w="131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待机功率</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≦1W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383"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随机配件</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保修卡，说明书，合格证，电源线，天线棒。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3383"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整机尺寸</w:t>
            </w:r>
          </w:p>
        </w:tc>
        <w:tc>
          <w:tcPr>
            <w:tcW w:w="61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约宽800mm*高1900mm*厚40mm（含底座）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0"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2383155" cy="2941320"/>
                  <wp:effectExtent l="0" t="0" r="9525" b="0"/>
                  <wp:wrapTopAndBottom/>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6"/>
                          <a:stretch>
                            <a:fillRect/>
                          </a:stretch>
                        </pic:blipFill>
                        <pic:spPr>
                          <a:xfrm>
                            <a:off x="0" y="0"/>
                            <a:ext cx="2383155" cy="294132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3" w:hRule="atLeast"/>
          <w:jc w:val="center"/>
        </w:trPr>
        <w:tc>
          <w:tcPr>
            <w:tcW w:w="9503" w:type="dxa"/>
            <w:gridSpan w:val="3"/>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i w:val="0"/>
                <w:color w:val="FF0000"/>
                <w:kern w:val="0"/>
                <w:sz w:val="30"/>
                <w:szCs w:val="30"/>
                <w:u w:val="none"/>
                <w:lang w:val="en-US" w:eastAsia="zh-CN" w:bidi="ar"/>
              </w:rPr>
            </w:pPr>
            <w:r>
              <w:rPr>
                <w:rFonts w:hint="eastAsia" w:ascii="仿宋" w:hAnsi="仿宋" w:eastAsia="仿宋" w:cs="仿宋"/>
                <w:b/>
                <w:i w:val="0"/>
                <w:color w:val="FF0000"/>
                <w:kern w:val="0"/>
                <w:sz w:val="30"/>
                <w:szCs w:val="30"/>
                <w:u w:val="none"/>
                <w:lang w:val="en-US" w:eastAsia="zh-CN" w:bidi="ar"/>
              </w:rPr>
              <w:t>系统拓扑图</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drawing>
                <wp:anchor distT="0" distB="0" distL="114300" distR="114300" simplePos="0" relativeHeight="251659264" behindDoc="0" locked="0" layoutInCell="1" allowOverlap="1">
                  <wp:simplePos x="0" y="0"/>
                  <wp:positionH relativeFrom="column">
                    <wp:posOffset>1304925</wp:posOffset>
                  </wp:positionH>
                  <wp:positionV relativeFrom="paragraph">
                    <wp:posOffset>78740</wp:posOffset>
                  </wp:positionV>
                  <wp:extent cx="3215640" cy="2764790"/>
                  <wp:effectExtent l="0" t="0" r="0" b="8890"/>
                  <wp:wrapNone/>
                  <wp:docPr id="1" name="图片_3"/>
                  <wp:cNvGraphicFramePr/>
                  <a:graphic xmlns:a="http://schemas.openxmlformats.org/drawingml/2006/main">
                    <a:graphicData uri="http://schemas.openxmlformats.org/drawingml/2006/picture">
                      <pic:pic xmlns:pic="http://schemas.openxmlformats.org/drawingml/2006/picture">
                        <pic:nvPicPr>
                          <pic:cNvPr id="1" name="图片_3"/>
                          <pic:cNvPicPr/>
                        </pic:nvPicPr>
                        <pic:blipFill>
                          <a:blip r:embed="rId7"/>
                          <a:srcRect l="14692" r="4817"/>
                          <a:stretch>
                            <a:fillRect/>
                          </a:stretch>
                        </pic:blipFill>
                        <pic:spPr>
                          <a:xfrm>
                            <a:off x="0" y="0"/>
                            <a:ext cx="3215640" cy="2764790"/>
                          </a:xfrm>
                          <a:prstGeom prst="rect">
                            <a:avLst/>
                          </a:prstGeom>
                          <a:noFill/>
                          <a:ln>
                            <a:noFill/>
                          </a:ln>
                        </pic:spPr>
                      </pic:pic>
                    </a:graphicData>
                  </a:graphic>
                </wp:anchor>
              </w:drawing>
            </w:r>
          </w:p>
        </w:tc>
      </w:tr>
    </w:tbl>
    <w:p>
      <w:pPr>
        <w:bidi w:val="0"/>
        <w:jc w:val="both"/>
        <w:outlineLvl w:val="0"/>
        <w:rPr>
          <w:rFonts w:hint="eastAsia" w:hAnsi="宋体" w:eastAsia="宋体"/>
          <w:b/>
          <w:sz w:val="32"/>
          <w:lang w:eastAsia="zh-CN"/>
        </w:rPr>
      </w:pPr>
      <w:bookmarkStart w:id="5" w:name="_Toc327515475"/>
      <w:r>
        <w:rPr>
          <w:rFonts w:hint="eastAsia" w:hAnsi="宋体"/>
          <w:b/>
          <w:sz w:val="32"/>
          <w:lang w:val="en-US" w:eastAsia="zh-CN"/>
        </w:rPr>
        <w:t>（三）二楼</w:t>
      </w:r>
      <w:r>
        <w:rPr>
          <w:rFonts w:hint="eastAsia" w:hAnsi="宋体"/>
          <w:b/>
          <w:sz w:val="32"/>
          <w:lang w:eastAsia="zh-CN"/>
        </w:rPr>
        <w:t>灯箱</w:t>
      </w:r>
      <w:r>
        <w:rPr>
          <w:rFonts w:hint="eastAsia" w:hAnsi="宋体"/>
          <w:b/>
          <w:sz w:val="32"/>
        </w:rPr>
        <w:t>广告</w:t>
      </w:r>
      <w:r>
        <w:rPr>
          <w:rFonts w:hAnsi="宋体"/>
          <w:b/>
          <w:sz w:val="32"/>
        </w:rPr>
        <w:t>技术要求</w:t>
      </w:r>
      <w:bookmarkEnd w:id="5"/>
      <w:bookmarkStart w:id="6" w:name="_Toc19188"/>
      <w:bookmarkStart w:id="7" w:name="_Toc11035"/>
      <w:bookmarkStart w:id="8" w:name="_Toc191876958"/>
      <w:r>
        <w:rPr>
          <w:rFonts w:hint="eastAsia" w:hAnsi="宋体"/>
          <w:b/>
          <w:sz w:val="32"/>
          <w:lang w:eastAsia="zh-CN"/>
        </w:rPr>
        <w:t>（立于二楼楼板，需单独立支架）</w:t>
      </w:r>
    </w:p>
    <w:p>
      <w:pPr>
        <w:pStyle w:val="13"/>
        <w:bidi w:val="0"/>
        <w:spacing w:line="360" w:lineRule="auto"/>
        <w:ind w:firstLine="0"/>
        <w:rPr>
          <w:rFonts w:hint="eastAsia" w:ascii="仿宋" w:hAnsi="仿宋" w:eastAsia="仿宋" w:cs="仿宋"/>
          <w:b/>
          <w:bCs/>
          <w:sz w:val="30"/>
          <w:szCs w:val="30"/>
        </w:rPr>
      </w:pPr>
      <w:r>
        <w:rPr>
          <w:rFonts w:hint="eastAsia" w:ascii="仿宋" w:hAnsi="仿宋" w:eastAsia="仿宋" w:cs="仿宋"/>
          <w:b/>
          <w:bCs/>
          <w:sz w:val="30"/>
          <w:szCs w:val="30"/>
        </w:rPr>
        <w:t>1.技术要求说明</w:t>
      </w:r>
    </w:p>
    <w:p>
      <w:pPr>
        <w:bidi w:val="0"/>
        <w:ind w:firstLine="594" w:firstLineChars="198"/>
        <w:rPr>
          <w:rFonts w:hint="eastAsia" w:ascii="仿宋" w:hAnsi="仿宋" w:eastAsia="仿宋" w:cs="仿宋"/>
          <w:kern w:val="0"/>
          <w:sz w:val="30"/>
          <w:szCs w:val="30"/>
        </w:rPr>
      </w:pPr>
      <w:r>
        <w:rPr>
          <w:rFonts w:hint="eastAsia" w:ascii="仿宋" w:hAnsi="仿宋" w:eastAsia="仿宋" w:cs="仿宋"/>
          <w:kern w:val="0"/>
          <w:sz w:val="30"/>
          <w:szCs w:val="30"/>
        </w:rPr>
        <w:t>1.1 本技术要求由文字说明组成，供货商必须同时满足全部要求。技术要求对灯箱的性能、材料、安装方式、接口处理、包装、运输、成品保护作了详细规定，对灯箱的内部构造、外观细部、特殊工艺作具体要求，由供货商根据</w:t>
      </w:r>
      <w:r>
        <w:rPr>
          <w:rFonts w:hint="eastAsia" w:ascii="仿宋" w:hAnsi="仿宋" w:eastAsia="仿宋" w:cs="仿宋"/>
          <w:kern w:val="0"/>
          <w:sz w:val="30"/>
          <w:szCs w:val="30"/>
          <w:lang w:eastAsia="zh-CN"/>
        </w:rPr>
        <w:t>施工图</w:t>
      </w:r>
      <w:r>
        <w:rPr>
          <w:rFonts w:hint="eastAsia" w:ascii="仿宋" w:hAnsi="仿宋" w:eastAsia="仿宋" w:cs="仿宋"/>
          <w:kern w:val="0"/>
          <w:sz w:val="30"/>
          <w:szCs w:val="30"/>
        </w:rPr>
        <w:t>作为投标评分项目。</w:t>
      </w:r>
    </w:p>
    <w:p>
      <w:pPr>
        <w:bidi w:val="0"/>
        <w:ind w:firstLine="594" w:firstLineChars="198"/>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 xml:space="preserve">1.2 </w:t>
      </w:r>
      <w:r>
        <w:rPr>
          <w:rFonts w:hint="eastAsia" w:ascii="仿宋" w:hAnsi="仿宋" w:eastAsia="仿宋" w:cs="仿宋"/>
          <w:kern w:val="0"/>
          <w:sz w:val="30"/>
          <w:szCs w:val="30"/>
        </w:rPr>
        <w:t>本技术要求引用的标准和规范是必须满足的基本要求，</w:t>
      </w:r>
      <w:r>
        <w:rPr>
          <w:rFonts w:hint="eastAsia" w:ascii="仿宋" w:hAnsi="仿宋" w:eastAsia="仿宋" w:cs="仿宋"/>
          <w:kern w:val="0"/>
          <w:sz w:val="30"/>
          <w:szCs w:val="30"/>
          <w:lang w:val="zh-CN"/>
        </w:rPr>
        <w:t>并未对一切技术细节做出规定，也未充分引述有关标准和规范的条文，投标人应保证提供符合本条件和标准的优质产品。</w:t>
      </w:r>
    </w:p>
    <w:p>
      <w:pPr>
        <w:bidi w:val="0"/>
        <w:ind w:firstLine="594" w:firstLineChars="198"/>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1.3 如果投标人没有以书面形式对本技术条件和条文提出异议，那么可以认为供货方提供的产品完成满足技术条件的要求。</w:t>
      </w:r>
    </w:p>
    <w:p>
      <w:pPr>
        <w:bidi w:val="0"/>
        <w:ind w:firstLine="594" w:firstLineChars="198"/>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1.4 货物应满足本技术要求书及国家和地方规定的标准和规范进行制造。若在设计和制造中应用的某项标准或规范在本技术规范书中没有规定，则投标人应详细说明其所采用的标准和规范，并提供该标准或规范的完整中文原件给招标人。只有当其采用的标准和规范是国际公认的、惯用的，且等于或优于本技术要求书的要求时，此标准或规范才能为招标人所接受。</w:t>
      </w:r>
    </w:p>
    <w:p>
      <w:pPr>
        <w:pStyle w:val="13"/>
        <w:bidi w:val="0"/>
        <w:spacing w:line="360" w:lineRule="auto"/>
        <w:ind w:firstLine="0"/>
        <w:rPr>
          <w:rFonts w:hint="eastAsia" w:ascii="仿宋" w:hAnsi="仿宋" w:eastAsia="仿宋" w:cs="仿宋"/>
          <w:b/>
          <w:bCs/>
          <w:sz w:val="30"/>
          <w:szCs w:val="30"/>
        </w:rPr>
      </w:pPr>
      <w:r>
        <w:rPr>
          <w:rFonts w:hint="eastAsia" w:ascii="仿宋" w:hAnsi="仿宋" w:eastAsia="仿宋" w:cs="仿宋"/>
          <w:b/>
          <w:bCs/>
          <w:sz w:val="30"/>
          <w:szCs w:val="30"/>
        </w:rPr>
        <w:t>2.灯箱工作条件</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2.1 环境湿度：相对湿度按100％考虑。</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2.2 公共区温度：-10℃— 45℃。</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2.3 轨行区温度：-10℃— 45℃。</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2.4 灯箱日常工作时间为每天18个小时，但为满足特殊时期（如节假日）延长运营时间的需要，灯箱须具备每天工作20个小时的能力。每周七天连续工作。</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2.5 灯箱正常工作时温度不得高于50℃。</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2.6 相对湿度：日平均值不大于95%；月平均值不大于90%（25</w:t>
      </w:r>
      <w:r>
        <w:rPr>
          <w:rFonts w:hint="eastAsia" w:ascii="仿宋" w:hAnsi="仿宋" w:eastAsia="仿宋" w:cs="仿宋"/>
          <w:kern w:val="0"/>
          <w:sz w:val="30"/>
          <w:szCs w:val="30"/>
          <w:lang w:val="zh-CN"/>
        </w:rPr>
        <w:pgNum/>
      </w:r>
      <w:r>
        <w:rPr>
          <w:rFonts w:hint="eastAsia" w:ascii="仿宋" w:hAnsi="仿宋" w:eastAsia="仿宋" w:cs="仿宋"/>
          <w:kern w:val="0"/>
          <w:sz w:val="30"/>
          <w:szCs w:val="30"/>
          <w:lang w:val="zh-CN"/>
        </w:rPr>
        <w:t>C）。</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海拔高度：≤</w:t>
      </w:r>
      <w:r>
        <w:rPr>
          <w:rFonts w:hint="eastAsia" w:ascii="仿宋" w:hAnsi="仿宋" w:eastAsia="仿宋" w:cs="仿宋"/>
          <w:kern w:val="0"/>
          <w:sz w:val="30"/>
          <w:szCs w:val="30"/>
          <w:lang w:val="en-US" w:eastAsia="zh-CN"/>
        </w:rPr>
        <w:t>23</w:t>
      </w:r>
      <w:r>
        <w:rPr>
          <w:rFonts w:hint="eastAsia" w:ascii="仿宋" w:hAnsi="仿宋" w:eastAsia="仿宋" w:cs="仿宋"/>
          <w:kern w:val="0"/>
          <w:sz w:val="30"/>
          <w:szCs w:val="30"/>
          <w:lang w:val="zh-CN"/>
        </w:rPr>
        <w:t>00m</w:t>
      </w:r>
    </w:p>
    <w:p>
      <w:pPr>
        <w:bidi w:val="0"/>
        <w:ind w:firstLine="594" w:firstLineChars="198"/>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最大地震烈度：</w:t>
      </w:r>
      <w:r>
        <w:rPr>
          <w:rFonts w:hint="eastAsia" w:ascii="仿宋" w:hAnsi="仿宋" w:eastAsia="仿宋" w:cs="仿宋"/>
          <w:kern w:val="0"/>
          <w:sz w:val="30"/>
          <w:szCs w:val="30"/>
          <w:lang w:val="en-US" w:eastAsia="zh-CN"/>
        </w:rPr>
        <w:t>6</w:t>
      </w:r>
      <w:r>
        <w:rPr>
          <w:rFonts w:hint="eastAsia" w:ascii="仿宋" w:hAnsi="仿宋" w:eastAsia="仿宋" w:cs="仿宋"/>
          <w:kern w:val="0"/>
          <w:sz w:val="30"/>
          <w:szCs w:val="30"/>
          <w:lang w:val="zh-CN"/>
        </w:rPr>
        <w:t>度</w:t>
      </w:r>
    </w:p>
    <w:p>
      <w:pPr>
        <w:bidi w:val="0"/>
        <w:ind w:firstLine="594" w:firstLineChars="198"/>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振动：f&lt;10Hz时，振幅为0.3mm；10Hz&lt;f&lt;150Hz时，加速度为1m/s2。</w:t>
      </w:r>
    </w:p>
    <w:p>
      <w:pPr>
        <w:pStyle w:val="13"/>
        <w:bidi w:val="0"/>
        <w:spacing w:line="360" w:lineRule="auto"/>
        <w:ind w:firstLine="0"/>
        <w:rPr>
          <w:rFonts w:hint="eastAsia" w:ascii="仿宋" w:hAnsi="仿宋" w:eastAsia="仿宋" w:cs="仿宋"/>
          <w:b/>
          <w:bCs/>
          <w:sz w:val="30"/>
          <w:szCs w:val="30"/>
        </w:rPr>
      </w:pPr>
      <w:r>
        <w:rPr>
          <w:rFonts w:hint="eastAsia" w:ascii="仿宋" w:hAnsi="仿宋" w:eastAsia="仿宋" w:cs="仿宋"/>
          <w:b/>
          <w:bCs/>
          <w:sz w:val="30"/>
          <w:szCs w:val="30"/>
        </w:rPr>
        <w:t>3.广告灯箱技术要求</w:t>
      </w:r>
    </w:p>
    <w:p>
      <w:pPr>
        <w:bidi w:val="0"/>
        <w:ind w:firstLine="594" w:firstLineChars="198"/>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3.1  材料及工艺技术要求</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灯箱外观、见光尺寸应符合表1的规定。</w:t>
      </w:r>
    </w:p>
    <w:tbl>
      <w:tblPr>
        <w:tblStyle w:val="18"/>
        <w:tblW w:w="9060"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91"/>
        <w:gridCol w:w="961"/>
        <w:gridCol w:w="960"/>
        <w:gridCol w:w="988"/>
        <w:gridCol w:w="837"/>
        <w:gridCol w:w="838"/>
        <w:gridCol w:w="855"/>
        <w:gridCol w:w="855"/>
        <w:gridCol w:w="838"/>
        <w:gridCol w:w="83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9060" w:type="dxa"/>
            <w:gridSpan w:val="10"/>
            <w:tcBorders>
              <w:bottom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表</w:t>
            </w:r>
            <w:r>
              <w:rPr>
                <w:rFonts w:hint="eastAsia" w:ascii="仿宋" w:hAnsi="仿宋" w:eastAsia="仿宋" w:cs="仿宋"/>
                <w:sz w:val="24"/>
                <w:szCs w:val="24"/>
              </w:rPr>
              <w:t>1</w:t>
            </w:r>
            <w:r>
              <w:rPr>
                <w:rFonts w:hint="eastAsia" w:ascii="仿宋" w:hAnsi="仿宋" w:eastAsia="仿宋" w:cs="仿宋"/>
                <w:kern w:val="0"/>
                <w:sz w:val="24"/>
                <w:szCs w:val="24"/>
              </w:rPr>
              <w:t xml:space="preserve">：广告媒体的尺寸要求表         单位：mm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00" w:hRule="atLeast"/>
          <w:jc w:val="center"/>
        </w:trPr>
        <w:tc>
          <w:tcPr>
            <w:tcW w:w="1091" w:type="dxa"/>
            <w:vMerge w:val="restart"/>
            <w:tcBorders>
              <w:top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媒体类型</w:t>
            </w:r>
          </w:p>
        </w:tc>
        <w:tc>
          <w:tcPr>
            <w:tcW w:w="2909" w:type="dxa"/>
            <w:gridSpan w:val="3"/>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媒体外观尺寸</w:t>
            </w:r>
          </w:p>
        </w:tc>
        <w:tc>
          <w:tcPr>
            <w:tcW w:w="1675" w:type="dxa"/>
            <w:gridSpan w:val="2"/>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媒体见光尺寸</w:t>
            </w:r>
          </w:p>
        </w:tc>
        <w:tc>
          <w:tcPr>
            <w:tcW w:w="1710" w:type="dxa"/>
            <w:gridSpan w:val="2"/>
            <w:tcBorders>
              <w:top w:val="single" w:color="auto" w:sz="4" w:space="0"/>
              <w:left w:val="nil"/>
              <w:bottom w:val="single" w:color="auto" w:sz="4" w:space="0"/>
              <w:right w:val="single" w:color="000000"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挂画板的见光尺寸</w:t>
            </w:r>
          </w:p>
        </w:tc>
        <w:tc>
          <w:tcPr>
            <w:tcW w:w="1675" w:type="dxa"/>
            <w:gridSpan w:val="2"/>
            <w:tcBorders>
              <w:top w:val="single" w:color="auto" w:sz="4" w:space="0"/>
              <w:left w:val="nil"/>
              <w:bottom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画面的成品尺寸</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493" w:hRule="atLeast"/>
          <w:jc w:val="center"/>
        </w:trPr>
        <w:tc>
          <w:tcPr>
            <w:tcW w:w="1091" w:type="dxa"/>
            <w:vMerge w:val="continue"/>
            <w:tcBorders>
              <w:top w:val="nil"/>
              <w:bottom w:val="single" w:color="auto" w:sz="4" w:space="0"/>
              <w:right w:val="single" w:color="auto" w:sz="4" w:space="0"/>
            </w:tcBorders>
            <w:noWrap w:val="0"/>
            <w:vAlign w:val="center"/>
          </w:tcPr>
          <w:p>
            <w:pPr>
              <w:rPr>
                <w:rFonts w:hint="eastAsia" w:ascii="仿宋" w:hAnsi="仿宋" w:eastAsia="仿宋" w:cs="仿宋"/>
                <w:sz w:val="24"/>
                <w:szCs w:val="24"/>
              </w:rPr>
            </w:pPr>
          </w:p>
        </w:tc>
        <w:tc>
          <w:tcPr>
            <w:tcW w:w="961"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宽</w:t>
            </w:r>
          </w:p>
        </w:tc>
        <w:tc>
          <w:tcPr>
            <w:tcW w:w="960"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高</w:t>
            </w:r>
          </w:p>
        </w:tc>
        <w:tc>
          <w:tcPr>
            <w:tcW w:w="988"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厚</w:t>
            </w:r>
          </w:p>
        </w:tc>
        <w:tc>
          <w:tcPr>
            <w:tcW w:w="837"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宽</w:t>
            </w:r>
          </w:p>
        </w:tc>
        <w:tc>
          <w:tcPr>
            <w:tcW w:w="838"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高</w:t>
            </w:r>
          </w:p>
        </w:tc>
        <w:tc>
          <w:tcPr>
            <w:tcW w:w="855"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宽</w:t>
            </w:r>
          </w:p>
        </w:tc>
        <w:tc>
          <w:tcPr>
            <w:tcW w:w="855"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高</w:t>
            </w:r>
          </w:p>
        </w:tc>
        <w:tc>
          <w:tcPr>
            <w:tcW w:w="838" w:type="dxa"/>
            <w:tcBorders>
              <w:top w:val="nil"/>
              <w:left w:val="nil"/>
              <w:bottom w:val="single" w:color="auto" w:sz="4" w:space="0"/>
              <w:right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宽</w:t>
            </w:r>
          </w:p>
        </w:tc>
        <w:tc>
          <w:tcPr>
            <w:tcW w:w="837" w:type="dxa"/>
            <w:tcBorders>
              <w:top w:val="nil"/>
              <w:left w:val="nil"/>
              <w:bottom w:val="single" w:color="auto" w:sz="4" w:space="0"/>
            </w:tcBorders>
            <w:noWrap w:val="0"/>
            <w:vAlign w:val="center"/>
          </w:tcPr>
          <w:p>
            <w:pPr>
              <w:widowControl/>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高</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091" w:type="dxa"/>
            <w:tcBorders>
              <w:top w:val="nil"/>
              <w:bottom w:val="single" w:color="auto" w:sz="4" w:space="0"/>
              <w:right w:val="single" w:color="auto" w:sz="4" w:space="0"/>
            </w:tcBorders>
            <w:noWrap w:val="0"/>
            <w:vAlign w:val="center"/>
          </w:tcPr>
          <w:p>
            <w:pPr>
              <w:rPr>
                <w:rFonts w:hint="eastAsia" w:ascii="仿宋" w:hAnsi="仿宋" w:eastAsia="仿宋" w:cs="仿宋"/>
                <w:sz w:val="24"/>
                <w:szCs w:val="24"/>
              </w:rPr>
            </w:pPr>
          </w:p>
        </w:tc>
        <w:tc>
          <w:tcPr>
            <w:tcW w:w="961"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10000</w:t>
            </w:r>
          </w:p>
        </w:tc>
        <w:tc>
          <w:tcPr>
            <w:tcW w:w="960"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5000</w:t>
            </w:r>
          </w:p>
        </w:tc>
        <w:tc>
          <w:tcPr>
            <w:tcW w:w="988"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520</w:t>
            </w:r>
          </w:p>
        </w:tc>
        <w:tc>
          <w:tcPr>
            <w:tcW w:w="837"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9500</w:t>
            </w:r>
          </w:p>
        </w:tc>
        <w:tc>
          <w:tcPr>
            <w:tcW w:w="838"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4000</w:t>
            </w:r>
          </w:p>
        </w:tc>
        <w:tc>
          <w:tcPr>
            <w:tcW w:w="855"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9500</w:t>
            </w:r>
          </w:p>
        </w:tc>
        <w:tc>
          <w:tcPr>
            <w:tcW w:w="855"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4000</w:t>
            </w:r>
          </w:p>
        </w:tc>
        <w:tc>
          <w:tcPr>
            <w:tcW w:w="838" w:type="dxa"/>
            <w:tcBorders>
              <w:top w:val="nil"/>
              <w:left w:val="nil"/>
              <w:bottom w:val="single" w:color="auto" w:sz="4" w:space="0"/>
              <w:right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10200</w:t>
            </w:r>
          </w:p>
        </w:tc>
        <w:tc>
          <w:tcPr>
            <w:tcW w:w="837" w:type="dxa"/>
            <w:tcBorders>
              <w:top w:val="nil"/>
              <w:left w:val="nil"/>
              <w:bottom w:val="single" w:color="auto"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4700</w:t>
            </w:r>
          </w:p>
        </w:tc>
      </w:tr>
    </w:tbl>
    <w:p>
      <w:pPr>
        <w:pStyle w:val="14"/>
        <w:keepNext w:val="0"/>
        <w:keepLines w:val="0"/>
        <w:pageBreakBefore w:val="0"/>
        <w:widowControl w:val="0"/>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备注：</w:t>
      </w:r>
    </w:p>
    <w:p>
      <w:pPr>
        <w:bidi w:val="0"/>
        <w:ind w:firstLine="645"/>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kern w:val="0"/>
          <w:sz w:val="30"/>
          <w:szCs w:val="30"/>
        </w:rPr>
        <w:t>以上需待定的尺寸由灯箱供应商根据外观尺寸而设计，并提交业主确认，确保广告媒体美观大方。</w:t>
      </w:r>
    </w:p>
    <w:p>
      <w:pPr>
        <w:bidi w:val="0"/>
        <w:ind w:firstLine="645"/>
        <w:rPr>
          <w:rFonts w:hint="eastAsia" w:ascii="仿宋" w:hAnsi="仿宋" w:eastAsia="仿宋" w:cs="仿宋"/>
          <w:sz w:val="30"/>
          <w:szCs w:val="30"/>
        </w:rPr>
      </w:pPr>
      <w:r>
        <w:rPr>
          <w:rFonts w:hint="eastAsia" w:ascii="仿宋" w:hAnsi="仿宋" w:eastAsia="仿宋" w:cs="仿宋"/>
          <w:sz w:val="30"/>
          <w:szCs w:val="30"/>
        </w:rPr>
        <w:t>2、本合同包含所有广告灯箱预埋件、固定件、连接件的供货以及广告灯箱的安装（需与装修施工单位配合）。</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材料允许偏差和检验方法符合表2的规定</w:t>
      </w:r>
    </w:p>
    <w:p>
      <w:pPr>
        <w:bidi w:val="0"/>
        <w:ind w:left="720"/>
        <w:rPr>
          <w:rFonts w:hint="eastAsia" w:ascii="仿宋" w:hAnsi="仿宋" w:eastAsia="仿宋" w:cs="仿宋"/>
          <w:sz w:val="30"/>
          <w:szCs w:val="30"/>
        </w:rPr>
      </w:pPr>
      <w:r>
        <w:rPr>
          <w:rFonts w:hint="eastAsia" w:ascii="仿宋" w:hAnsi="仿宋" w:eastAsia="仿宋" w:cs="仿宋"/>
          <w:sz w:val="30"/>
          <w:szCs w:val="30"/>
        </w:rPr>
        <w:t>表2</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2638"/>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检验项目</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检验要求</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单块边长</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1mm</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GB/T 7697-1996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单块厚度</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0.1mm</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GB/T 7697-1996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线路</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0.5mm</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GB/T 7697-1996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板材边长</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2mm</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GB/T 7697-1996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板材对角线</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1mm</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256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板材平整度</w:t>
            </w:r>
          </w:p>
        </w:tc>
        <w:tc>
          <w:tcPr>
            <w:tcW w:w="263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0.5mm</w:t>
            </w:r>
          </w:p>
        </w:tc>
        <w:tc>
          <w:tcPr>
            <w:tcW w:w="272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用2m靠尺和塞尺检查</w:t>
            </w:r>
          </w:p>
        </w:tc>
      </w:tr>
    </w:tbl>
    <w:p>
      <w:pPr>
        <w:keepNext w:val="0"/>
        <w:keepLines w:val="0"/>
        <w:pageBreakBefore w:val="0"/>
        <w:widowControl w:val="0"/>
        <w:numPr>
          <w:ilvl w:val="2"/>
          <w:numId w:val="13"/>
        </w:numPr>
        <w:tabs>
          <w:tab w:val="clear" w:pos="720"/>
        </w:tabs>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Style w:val="25"/>
          <w:rFonts w:hint="eastAsia" w:ascii="仿宋" w:hAnsi="仿宋" w:eastAsia="仿宋" w:cs="仿宋"/>
          <w:b w:val="0"/>
          <w:kern w:val="0"/>
          <w:sz w:val="30"/>
          <w:szCs w:val="30"/>
        </w:rPr>
        <w:t>广告灯箱应采用</w:t>
      </w:r>
      <w:r>
        <w:rPr>
          <w:rStyle w:val="25"/>
          <w:rFonts w:hint="eastAsia" w:ascii="仿宋" w:hAnsi="仿宋" w:eastAsia="仿宋" w:cs="仿宋"/>
          <w:b w:val="0"/>
          <w:kern w:val="0"/>
          <w:sz w:val="30"/>
          <w:szCs w:val="30"/>
          <w:lang w:eastAsia="zh-CN"/>
        </w:rPr>
        <w:t>钢结构型材</w:t>
      </w:r>
      <w:r>
        <w:rPr>
          <w:rStyle w:val="25"/>
          <w:rFonts w:hint="eastAsia" w:ascii="仿宋" w:hAnsi="仿宋" w:eastAsia="仿宋" w:cs="仿宋"/>
          <w:b w:val="0"/>
          <w:kern w:val="0"/>
          <w:sz w:val="30"/>
          <w:szCs w:val="30"/>
        </w:rPr>
        <w:t>，</w:t>
      </w:r>
      <w:r>
        <w:rPr>
          <w:rStyle w:val="25"/>
          <w:rFonts w:hint="eastAsia" w:ascii="仿宋" w:hAnsi="仿宋" w:eastAsia="仿宋" w:cs="仿宋"/>
          <w:b w:val="0"/>
          <w:kern w:val="0"/>
          <w:sz w:val="30"/>
          <w:szCs w:val="30"/>
          <w:lang w:eastAsia="zh-CN"/>
        </w:rPr>
        <w:t>后面开门</w:t>
      </w:r>
      <w:r>
        <w:rPr>
          <w:rStyle w:val="25"/>
          <w:rFonts w:hint="eastAsia" w:ascii="仿宋" w:hAnsi="仿宋" w:eastAsia="仿宋" w:cs="仿宋"/>
          <w:b w:val="0"/>
          <w:kern w:val="0"/>
          <w:sz w:val="30"/>
          <w:szCs w:val="30"/>
        </w:rPr>
        <w:t>便于商户广告画面的更换。</w:t>
      </w:r>
      <w:r>
        <w:rPr>
          <w:rFonts w:hint="eastAsia" w:ascii="仿宋" w:hAnsi="仿宋" w:eastAsia="仿宋" w:cs="仿宋"/>
          <w:sz w:val="30"/>
          <w:szCs w:val="30"/>
        </w:rPr>
        <w:t>供货商需根据提供广告灯箱的特点与现场</w:t>
      </w:r>
      <w:r>
        <w:rPr>
          <w:rFonts w:hint="eastAsia" w:ascii="仿宋" w:hAnsi="仿宋" w:eastAsia="仿宋" w:cs="仿宋"/>
          <w:sz w:val="30"/>
          <w:szCs w:val="30"/>
          <w:lang w:eastAsia="zh-CN"/>
        </w:rPr>
        <w:t>二楼顶</w:t>
      </w:r>
      <w:r>
        <w:rPr>
          <w:rFonts w:hint="eastAsia" w:ascii="仿宋" w:hAnsi="仿宋" w:eastAsia="仿宋" w:cs="仿宋"/>
          <w:sz w:val="30"/>
          <w:szCs w:val="30"/>
        </w:rPr>
        <w:t>结构进行固定安装。灯箱骨架采用</w:t>
      </w:r>
      <w:r>
        <w:rPr>
          <w:rFonts w:hint="eastAsia" w:ascii="仿宋" w:hAnsi="仿宋" w:eastAsia="仿宋" w:cs="仿宋"/>
          <w:sz w:val="30"/>
          <w:szCs w:val="30"/>
          <w:lang w:val="en-US" w:eastAsia="zh-CN"/>
        </w:rPr>
        <w:t>10</w:t>
      </w:r>
      <w:r>
        <w:rPr>
          <w:rFonts w:hint="eastAsia" w:ascii="仿宋" w:hAnsi="仿宋" w:eastAsia="仿宋" w:cs="仿宋"/>
          <w:sz w:val="30"/>
          <w:szCs w:val="30"/>
        </w:rPr>
        <w:t>0*</w:t>
      </w:r>
      <w:r>
        <w:rPr>
          <w:rFonts w:hint="eastAsia" w:ascii="仿宋" w:hAnsi="仿宋" w:eastAsia="仿宋" w:cs="仿宋"/>
          <w:sz w:val="30"/>
          <w:szCs w:val="30"/>
          <w:lang w:val="en-US" w:eastAsia="zh-CN"/>
        </w:rPr>
        <w:t>10</w:t>
      </w:r>
      <w:r>
        <w:rPr>
          <w:rFonts w:hint="eastAsia" w:ascii="仿宋" w:hAnsi="仿宋" w:eastAsia="仿宋" w:cs="仿宋"/>
          <w:sz w:val="30"/>
          <w:szCs w:val="30"/>
        </w:rPr>
        <w:t>0*</w:t>
      </w:r>
      <w:r>
        <w:rPr>
          <w:rFonts w:hint="eastAsia" w:ascii="仿宋" w:hAnsi="仿宋" w:eastAsia="仿宋" w:cs="仿宋"/>
          <w:sz w:val="30"/>
          <w:szCs w:val="30"/>
          <w:lang w:val="en-US" w:eastAsia="zh-CN"/>
        </w:rPr>
        <w:t>4</w:t>
      </w:r>
      <w:r>
        <w:rPr>
          <w:rFonts w:hint="eastAsia" w:ascii="仿宋" w:hAnsi="仿宋" w:eastAsia="仿宋" w:cs="仿宋"/>
          <w:sz w:val="30"/>
          <w:szCs w:val="30"/>
        </w:rPr>
        <w:t>.</w:t>
      </w:r>
      <w:r>
        <w:rPr>
          <w:rFonts w:hint="eastAsia" w:ascii="仿宋" w:hAnsi="仿宋" w:eastAsia="仿宋" w:cs="仿宋"/>
          <w:sz w:val="30"/>
          <w:szCs w:val="30"/>
          <w:lang w:val="en-US" w:eastAsia="zh-CN"/>
        </w:rPr>
        <w:t>5</w:t>
      </w:r>
      <w:r>
        <w:rPr>
          <w:rFonts w:hint="eastAsia" w:ascii="仿宋" w:hAnsi="仿宋" w:eastAsia="仿宋" w:cs="仿宋"/>
          <w:sz w:val="30"/>
          <w:szCs w:val="30"/>
        </w:rPr>
        <w:t xml:space="preserve">镀锌钢管，表面喷涂白色氟碳漆（或业主制定的一种或多种其他颜色），广告灯箱的面框颜色由业主自定， </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在切割材料时，必须留有适当的余量以备材料发生膨胀。所有的切割边在组装时需填充密封胶，保证接口处严实不能渗水。</w:t>
      </w:r>
    </w:p>
    <w:p>
      <w:pPr>
        <w:keepNext w:val="0"/>
        <w:keepLines w:val="0"/>
        <w:pageBreakBefore w:val="0"/>
        <w:widowControl w:val="0"/>
        <w:tabs>
          <w:tab w:val="left" w:pos="0"/>
          <w:tab w:val="left" w:pos="900"/>
          <w:tab w:val="left" w:pos="6300"/>
          <w:tab w:val="left" w:leader="middleDot" w:pos="7350"/>
        </w:tabs>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玻璃胶选用硅树脂玻璃密封胶和胶贴。应确保玻璃密封胶和胶贴在安装和使用条件下与相接触的其它材料</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灯箱的箱体为密封的整体结构，能够有效地防尘、防水，防护等级的标准为IP54及以上，且不能出现漏光现象。灯箱整体结实牢固，灯箱底框</w:t>
      </w:r>
      <w:r>
        <w:rPr>
          <w:rFonts w:hint="eastAsia" w:ascii="仿宋" w:hAnsi="仿宋" w:eastAsia="仿宋" w:cs="仿宋"/>
          <w:sz w:val="30"/>
          <w:szCs w:val="30"/>
          <w:lang w:eastAsia="zh-CN"/>
        </w:rPr>
        <w:t>钢</w:t>
      </w:r>
      <w:r>
        <w:rPr>
          <w:rFonts w:hint="eastAsia" w:ascii="仿宋" w:hAnsi="仿宋" w:eastAsia="仿宋" w:cs="仿宋"/>
          <w:sz w:val="30"/>
          <w:szCs w:val="30"/>
        </w:rPr>
        <w:t>材必须</w:t>
      </w:r>
      <w:r>
        <w:rPr>
          <w:rFonts w:hint="eastAsia" w:ascii="仿宋" w:hAnsi="仿宋" w:eastAsia="仿宋" w:cs="仿宋"/>
          <w:sz w:val="30"/>
          <w:szCs w:val="30"/>
          <w:lang w:eastAsia="zh-CN"/>
        </w:rPr>
        <w:t>焊接牢固</w:t>
      </w:r>
      <w:r>
        <w:rPr>
          <w:rFonts w:hint="eastAsia" w:ascii="仿宋" w:hAnsi="仿宋" w:eastAsia="仿宋" w:cs="仿宋"/>
          <w:sz w:val="30"/>
          <w:szCs w:val="30"/>
        </w:rPr>
        <w:t>，确保正常使用过程中不变形，所有操作不得因构件磨损而产生阻碍。</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 xml:space="preserve">挂画机构顺畅确保安装画面时方便快捷。   </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灯箱材料必须符合国家防火要求，任何由灯箱制作商提出的代替材料必须是不可燃（A）类材料，至少也须是难燃（B1）类材料，防火性能还必须经消防部门的检验认定。</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所有的密封条须逬行胶合处理,结构胶须为囯家规定定标准的建筑用硅酮双组份玻璃结构胶，符合GB 16776-1997规定。</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机械加工构件的加工精度不低于IT10级。</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橡胶垫需符合国家标准，并符合消防部门防火规范。</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灯箱允许偏差和检验方法符合表4规定。</w:t>
      </w:r>
    </w:p>
    <w:p>
      <w:pPr>
        <w:pStyle w:val="13"/>
        <w:bidi w:val="0"/>
        <w:spacing w:line="360" w:lineRule="auto"/>
        <w:ind w:left="425" w:firstLine="0"/>
        <w:jc w:val="center"/>
        <w:rPr>
          <w:rFonts w:hint="eastAsia" w:ascii="仿宋" w:hAnsi="仿宋" w:eastAsia="仿宋" w:cs="仿宋"/>
          <w:sz w:val="30"/>
          <w:szCs w:val="30"/>
        </w:rPr>
      </w:pPr>
      <w:r>
        <w:rPr>
          <w:rFonts w:hint="eastAsia" w:ascii="仿宋" w:hAnsi="仿宋" w:eastAsia="仿宋" w:cs="仿宋"/>
          <w:sz w:val="30"/>
          <w:szCs w:val="30"/>
        </w:rPr>
        <w:t>表 4</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788"/>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229"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检验项目</w:t>
            </w:r>
          </w:p>
        </w:tc>
        <w:tc>
          <w:tcPr>
            <w:tcW w:w="17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检验要求</w:t>
            </w:r>
          </w:p>
        </w:tc>
        <w:tc>
          <w:tcPr>
            <w:tcW w:w="2763"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229"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边长偏差</w:t>
            </w:r>
          </w:p>
        </w:tc>
        <w:tc>
          <w:tcPr>
            <w:tcW w:w="17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1mm</w:t>
            </w:r>
          </w:p>
        </w:tc>
        <w:tc>
          <w:tcPr>
            <w:tcW w:w="2763"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229"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厚度偏差</w:t>
            </w:r>
          </w:p>
        </w:tc>
        <w:tc>
          <w:tcPr>
            <w:tcW w:w="17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2mm</w:t>
            </w:r>
          </w:p>
        </w:tc>
        <w:tc>
          <w:tcPr>
            <w:tcW w:w="2763"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229"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箱体角度方正</w:t>
            </w:r>
          </w:p>
        </w:tc>
        <w:tc>
          <w:tcPr>
            <w:tcW w:w="17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1mm</w:t>
            </w:r>
          </w:p>
        </w:tc>
        <w:tc>
          <w:tcPr>
            <w:tcW w:w="2763"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用直角检测尺检查</w:t>
            </w:r>
          </w:p>
        </w:tc>
      </w:tr>
    </w:tbl>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广告灯箱的供货范围包含与土建结构或型钢连接用的角码，灯箱可通过连接角码实现X、Y、Z三维方向±2CM的位置调节。</w:t>
      </w:r>
    </w:p>
    <w:p>
      <w:pPr>
        <w:keepNext w:val="0"/>
        <w:keepLines w:val="0"/>
        <w:pageBreakBefore w:val="0"/>
        <w:widowControl w:val="0"/>
        <w:numPr>
          <w:ilvl w:val="2"/>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结抅性铝合金型材须采用壁厚最薄处≥2mm的6063。</w:t>
      </w:r>
    </w:p>
    <w:p>
      <w:pPr>
        <w:keepNext w:val="0"/>
        <w:keepLines w:val="0"/>
        <w:pageBreakBefore w:val="0"/>
        <w:widowControl w:val="0"/>
        <w:numPr>
          <w:ilvl w:val="1"/>
          <w:numId w:val="13"/>
        </w:numPr>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灯箱电气设备技术要求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3.2.1 </w:t>
      </w:r>
      <w:r>
        <w:rPr>
          <w:rFonts w:hint="eastAsia" w:ascii="仿宋" w:hAnsi="仿宋" w:eastAsia="仿宋" w:cs="仿宋"/>
          <w:sz w:val="30"/>
          <w:szCs w:val="30"/>
        </w:rPr>
        <w:t xml:space="preserve">箱主要技术参数参见下表 </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2"/>
        <w:gridCol w:w="3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项 目</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灯箱输入电压〔V〕</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交流220V ±10%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电源频率(Hz)</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50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功率因数cosφ</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总谐波失真（电流谐波）%</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高于GB17625.1标准的要求，总谐波含量&lt;10%；低电磁波干扰，Tw≥130C,△t≤30C，无明显的频闪、噪音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灯箱功率</w:t>
            </w:r>
            <w:r>
              <w:rPr>
                <w:rFonts w:hint="eastAsia" w:ascii="仿宋" w:hAnsi="仿宋" w:eastAsia="仿宋" w:cs="仿宋"/>
                <w:sz w:val="24"/>
                <w:szCs w:val="24"/>
                <w:lang w:val="en-US" w:eastAsia="zh-CN"/>
              </w:rPr>
              <w:t>2.1K</w:t>
            </w:r>
            <w:r>
              <w:rPr>
                <w:rFonts w:hint="eastAsia" w:ascii="仿宋" w:hAnsi="仿宋" w:eastAsia="仿宋" w:cs="仿宋"/>
                <w:sz w:val="24"/>
                <w:szCs w:val="24"/>
              </w:rPr>
              <w:t>W</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广告灯箱≤60W/（平米）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工作温度℃（Ta=25℃）</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箱体≤50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342"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防护等级</w:t>
            </w:r>
          </w:p>
        </w:tc>
        <w:tc>
          <w:tcPr>
            <w:tcW w:w="3898" w:type="dxa"/>
            <w:noWrap w:val="0"/>
            <w:vAlign w:val="center"/>
          </w:tcPr>
          <w:p>
            <w:pPr>
              <w:tabs>
                <w:tab w:val="left" w:pos="2972"/>
              </w:tabs>
              <w:spacing w:line="240" w:lineRule="auto"/>
              <w:ind w:firstLine="420"/>
              <w:rPr>
                <w:rFonts w:hint="eastAsia" w:ascii="仿宋" w:hAnsi="仿宋" w:eastAsia="仿宋" w:cs="仿宋"/>
                <w:sz w:val="24"/>
                <w:szCs w:val="24"/>
              </w:rPr>
            </w:pPr>
            <w:r>
              <w:rPr>
                <w:rFonts w:hint="eastAsia" w:ascii="仿宋" w:hAnsi="仿宋" w:eastAsia="仿宋" w:cs="仿宋"/>
                <w:sz w:val="24"/>
                <w:szCs w:val="24"/>
              </w:rPr>
              <w:t>IP54</w:t>
            </w:r>
          </w:p>
        </w:tc>
      </w:tr>
    </w:tbl>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3.2.2</w:t>
      </w:r>
      <w:r>
        <w:rPr>
          <w:rFonts w:hint="eastAsia" w:ascii="仿宋" w:hAnsi="仿宋" w:eastAsia="仿宋" w:cs="仿宋"/>
          <w:color w:val="auto"/>
          <w:sz w:val="30"/>
          <w:szCs w:val="30"/>
        </w:rPr>
        <w:t>采用国际知名品牌的芯片，推荐采用品质不低于Cree（科锐）、Lumileds（流明）、Nichia（日亚）、Osram（欧司朗）原装进口产品。LED光源模块化设计，便于维修更换。要求注明投标产品的芯片厂家和封装厂家。</w:t>
      </w:r>
    </w:p>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3.2.3</w:t>
      </w:r>
      <w:r>
        <w:rPr>
          <w:rFonts w:hint="eastAsia" w:ascii="仿宋" w:hAnsi="仿宋" w:eastAsia="仿宋" w:cs="仿宋"/>
          <w:color w:val="auto"/>
          <w:sz w:val="30"/>
          <w:szCs w:val="30"/>
        </w:rPr>
        <w:t>LED应采用表面贴装技术（SMT）等先进封装技术。封装材料应具有高穿透率、高导热率、耐高温、耐日光辐射和抗潮湿，不得采用环氧树脂作为封装材料或透镜材料。LED应无铅、符合RoHS标准。</w:t>
      </w:r>
    </w:p>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3.2.4</w:t>
      </w:r>
      <w:r>
        <w:rPr>
          <w:rFonts w:hint="eastAsia" w:ascii="仿宋" w:hAnsi="仿宋" w:eastAsia="仿宋" w:cs="仿宋"/>
          <w:color w:val="auto"/>
          <w:sz w:val="30"/>
          <w:szCs w:val="30"/>
        </w:rPr>
        <w:t>所有LED照明装置采用同一品牌的LED光源。</w:t>
      </w:r>
    </w:p>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3.2.5</w:t>
      </w:r>
      <w:r>
        <w:rPr>
          <w:rFonts w:hint="eastAsia" w:ascii="仿宋" w:hAnsi="仿宋" w:eastAsia="仿宋" w:cs="仿宋"/>
          <w:color w:val="auto"/>
          <w:sz w:val="30"/>
          <w:szCs w:val="30"/>
        </w:rPr>
        <w:t>系统电压220V±10%下可长期可靠稳定运行。</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1588"/>
        <w:gridCol w:w="6792"/>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79" w:hRule="atLeast"/>
          <w:jc w:val="center"/>
        </w:trPr>
        <w:tc>
          <w:tcPr>
            <w:tcW w:w="1588" w:type="dxa"/>
            <w:tcBorders>
              <w:bottom w:val="single" w:color="000000" w:sz="6" w:space="0"/>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色温</w:t>
            </w:r>
          </w:p>
        </w:tc>
        <w:tc>
          <w:tcPr>
            <w:tcW w:w="6792" w:type="dxa"/>
            <w:tcBorders>
              <w:bottom w:val="single" w:color="000000" w:sz="6" w:space="0"/>
            </w:tcBorders>
            <w:noWrap w:val="0"/>
            <w:vAlign w:val="center"/>
          </w:tcPr>
          <w:p>
            <w:pPr>
              <w:spacing w:line="240" w:lineRule="auto"/>
              <w:rPr>
                <w:rFonts w:hint="eastAsia" w:ascii="仿宋" w:hAnsi="仿宋" w:eastAsia="仿宋" w:cs="仿宋"/>
                <w:kern w:val="32"/>
                <w:sz w:val="24"/>
                <w:szCs w:val="24"/>
              </w:rPr>
            </w:pPr>
            <w:r>
              <w:rPr>
                <w:rFonts w:hint="eastAsia" w:ascii="仿宋" w:hAnsi="仿宋" w:eastAsia="仿宋" w:cs="仿宋"/>
                <w:kern w:val="32"/>
                <w:sz w:val="24"/>
                <w:szCs w:val="24"/>
                <w:lang w:val="en-US" w:eastAsia="zh-CN"/>
              </w:rPr>
              <w:t>6000—</w:t>
            </w:r>
            <w:r>
              <w:rPr>
                <w:rFonts w:hint="eastAsia" w:ascii="仿宋" w:hAnsi="仿宋" w:eastAsia="仿宋" w:cs="仿宋"/>
                <w:kern w:val="32"/>
                <w:sz w:val="24"/>
                <w:szCs w:val="24"/>
              </w:rPr>
              <w:t>7000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38" w:hRule="atLeast"/>
          <w:jc w:val="center"/>
        </w:trPr>
        <w:tc>
          <w:tcPr>
            <w:tcW w:w="15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显色指数</w:t>
            </w:r>
          </w:p>
        </w:tc>
        <w:tc>
          <w:tcPr>
            <w:tcW w:w="6792" w:type="dxa"/>
            <w:noWrap w:val="0"/>
            <w:vAlign w:val="center"/>
          </w:tcPr>
          <w:p>
            <w:pPr>
              <w:spacing w:line="240" w:lineRule="auto"/>
              <w:rPr>
                <w:rFonts w:hint="eastAsia" w:ascii="仿宋" w:hAnsi="仿宋" w:eastAsia="仿宋" w:cs="仿宋"/>
                <w:kern w:val="32"/>
                <w:sz w:val="24"/>
                <w:szCs w:val="24"/>
              </w:rPr>
            </w:pPr>
            <w:r>
              <w:rPr>
                <w:rFonts w:hint="eastAsia" w:ascii="仿宋" w:hAnsi="仿宋" w:eastAsia="仿宋" w:cs="仿宋"/>
                <w:kern w:val="32"/>
                <w:sz w:val="24"/>
                <w:szCs w:val="24"/>
              </w:rPr>
              <w:t>≥80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79" w:hRule="atLeast"/>
          <w:jc w:val="center"/>
        </w:trPr>
        <w:tc>
          <w:tcPr>
            <w:tcW w:w="15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光效</w:t>
            </w:r>
          </w:p>
        </w:tc>
        <w:tc>
          <w:tcPr>
            <w:tcW w:w="6792" w:type="dxa"/>
            <w:noWrap w:val="0"/>
            <w:vAlign w:val="center"/>
          </w:tcPr>
          <w:p>
            <w:pPr>
              <w:spacing w:line="240" w:lineRule="auto"/>
              <w:rPr>
                <w:rFonts w:hint="eastAsia" w:ascii="仿宋" w:hAnsi="仿宋" w:eastAsia="仿宋" w:cs="仿宋"/>
                <w:kern w:val="32"/>
                <w:sz w:val="24"/>
                <w:szCs w:val="24"/>
              </w:rPr>
            </w:pPr>
            <w:r>
              <w:rPr>
                <w:rFonts w:hint="eastAsia" w:ascii="仿宋" w:hAnsi="仿宋" w:eastAsia="仿宋" w:cs="仿宋"/>
                <w:kern w:val="32"/>
                <w:sz w:val="24"/>
                <w:szCs w:val="24"/>
              </w:rPr>
              <w:t>≥80lm/w</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552" w:hRule="atLeast"/>
          <w:jc w:val="center"/>
        </w:trPr>
        <w:tc>
          <w:tcPr>
            <w:tcW w:w="15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寿命</w:t>
            </w:r>
          </w:p>
        </w:tc>
        <w:tc>
          <w:tcPr>
            <w:tcW w:w="6792" w:type="dxa"/>
            <w:noWrap w:val="0"/>
            <w:vAlign w:val="center"/>
          </w:tcPr>
          <w:p>
            <w:pPr>
              <w:spacing w:line="240" w:lineRule="auto"/>
              <w:rPr>
                <w:rFonts w:hint="eastAsia" w:ascii="仿宋" w:hAnsi="仿宋" w:eastAsia="仿宋" w:cs="仿宋"/>
                <w:kern w:val="32"/>
                <w:sz w:val="24"/>
                <w:szCs w:val="24"/>
              </w:rPr>
            </w:pPr>
            <w:r>
              <w:rPr>
                <w:rFonts w:hint="eastAsia" w:ascii="仿宋" w:hAnsi="仿宋" w:eastAsia="仿宋" w:cs="仿宋"/>
                <w:sz w:val="24"/>
                <w:szCs w:val="24"/>
              </w:rPr>
              <w:t>寿命≥50000小时（供货商提供光通量及光效（光通量降低至额定的70%视为该光源寿命终结）相应的检测报告及可靠依据资料（含计算资料）</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61" w:hRule="atLeast"/>
          <w:jc w:val="center"/>
        </w:trPr>
        <w:tc>
          <w:tcPr>
            <w:tcW w:w="15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kern w:val="32"/>
                <w:sz w:val="24"/>
                <w:szCs w:val="24"/>
              </w:rPr>
              <w:t>初始光通量</w:t>
            </w:r>
          </w:p>
        </w:tc>
        <w:tc>
          <w:tcPr>
            <w:tcW w:w="6792" w:type="dxa"/>
            <w:noWrap w:val="0"/>
            <w:vAlign w:val="center"/>
          </w:tcPr>
          <w:p>
            <w:pPr>
              <w:spacing w:line="240" w:lineRule="auto"/>
              <w:rPr>
                <w:rFonts w:hint="eastAsia" w:ascii="仿宋" w:hAnsi="仿宋" w:eastAsia="仿宋" w:cs="仿宋"/>
                <w:kern w:val="32"/>
                <w:sz w:val="24"/>
                <w:szCs w:val="24"/>
              </w:rPr>
            </w:pPr>
            <w:r>
              <w:rPr>
                <w:rFonts w:hint="eastAsia" w:ascii="仿宋" w:hAnsi="仿宋" w:eastAsia="仿宋" w:cs="仿宋"/>
                <w:kern w:val="32"/>
                <w:sz w:val="24"/>
                <w:szCs w:val="24"/>
              </w:rPr>
              <w:t>&gt;1600lm</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587" w:hRule="atLeast"/>
          <w:jc w:val="center"/>
        </w:trPr>
        <w:tc>
          <w:tcPr>
            <w:tcW w:w="1588"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光通维持率</w:t>
            </w:r>
          </w:p>
        </w:tc>
        <w:tc>
          <w:tcPr>
            <w:tcW w:w="6792" w:type="dxa"/>
            <w:noWrap w:val="0"/>
            <w:vAlign w:val="center"/>
          </w:tcPr>
          <w:p>
            <w:pPr>
              <w:spacing w:line="240" w:lineRule="auto"/>
              <w:rPr>
                <w:rFonts w:hint="eastAsia" w:ascii="仿宋" w:hAnsi="仿宋" w:eastAsia="仿宋" w:cs="仿宋"/>
                <w:kern w:val="32"/>
                <w:sz w:val="24"/>
                <w:szCs w:val="24"/>
              </w:rPr>
            </w:pPr>
            <w:r>
              <w:rPr>
                <w:rFonts w:hint="eastAsia" w:ascii="仿宋" w:hAnsi="仿宋" w:eastAsia="仿宋" w:cs="仿宋"/>
                <w:sz w:val="24"/>
                <w:szCs w:val="24"/>
              </w:rPr>
              <w:t>燃点3000h，光通维持率不低于96%；燃点6000h，光通维持率不低于92%，10000h光通维持率不低于86%</w:t>
            </w:r>
          </w:p>
        </w:tc>
      </w:tr>
    </w:tbl>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3.2.6</w:t>
      </w:r>
      <w:r>
        <w:rPr>
          <w:rFonts w:hint="eastAsia" w:ascii="仿宋" w:hAnsi="仿宋" w:eastAsia="仿宋" w:cs="仿宋"/>
          <w:color w:val="auto"/>
          <w:sz w:val="30"/>
          <w:szCs w:val="30"/>
        </w:rPr>
        <w:t>最大热沉温度不应大于65℃。</w:t>
      </w:r>
    </w:p>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3.2.7</w:t>
      </w:r>
      <w:r>
        <w:rPr>
          <w:rFonts w:hint="eastAsia" w:ascii="仿宋" w:hAnsi="仿宋" w:eastAsia="仿宋" w:cs="仿宋"/>
          <w:color w:val="auto"/>
          <w:sz w:val="30"/>
          <w:szCs w:val="30"/>
        </w:rPr>
        <w:t>LED灯在标称的额定电源电压及额定频率下工作时，其实际消耗的功率与额定功率之差不应大于10%，功率因数不应小于0.92；总谐波失真THD≤9%。</w:t>
      </w:r>
    </w:p>
    <w:p>
      <w:pPr>
        <w:pStyle w:val="26"/>
        <w:bidi w:val="0"/>
        <w:ind w:firstLine="420"/>
        <w:rPr>
          <w:rFonts w:hint="eastAsia" w:ascii="仿宋" w:hAnsi="仿宋" w:eastAsia="仿宋" w:cs="仿宋"/>
          <w:color w:val="auto"/>
          <w:sz w:val="30"/>
          <w:szCs w:val="30"/>
        </w:rPr>
      </w:pPr>
      <w:r>
        <w:rPr>
          <w:rFonts w:hint="eastAsia" w:ascii="仿宋" w:hAnsi="仿宋" w:eastAsia="仿宋" w:cs="仿宋"/>
          <w:color w:val="auto"/>
          <w:sz w:val="30"/>
          <w:szCs w:val="30"/>
        </w:rPr>
        <w:t>另有以下要求：</w:t>
      </w:r>
    </w:p>
    <w:p>
      <w:pPr>
        <w:keepNext w:val="0"/>
        <w:keepLines w:val="0"/>
        <w:pageBreakBefore w:val="0"/>
        <w:widowControl w:val="0"/>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（1）Led光源基本技术参数</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额定电压：AC220V±10％</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频率：50Hz±5％</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灯具在系统电压220V±10%下可长期可靠稳定运行。</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光源类型：0.11-0.15W的小功率LED芯片</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驱动模式：恒压驱动</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LED最大工作电流（mA）：直流350</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LED显色指数(Ra)：≥75</w:t>
      </w:r>
    </w:p>
    <w:p>
      <w:pPr>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LED灯在标称的额定电源电压及额定频率下工作时，其实际消耗的功率与额定功率之差不应大于10%，功率因数不应小于0.98</w:t>
      </w:r>
    </w:p>
    <w:p>
      <w:pPr>
        <w:pStyle w:val="2"/>
        <w:keepNext w:val="0"/>
        <w:keepLines w:val="0"/>
        <w:pageBreakBefore w:val="0"/>
        <w:widowControl w:val="0"/>
        <w:numPr>
          <w:ilvl w:val="0"/>
          <w:numId w:val="14"/>
        </w:numPr>
        <w:kinsoku/>
        <w:wordWrap/>
        <w:overflowPunct/>
        <w:topLinePunct w:val="0"/>
        <w:autoSpaceDE/>
        <w:autoSpaceDN/>
        <w:bidi w:val="0"/>
        <w:adjustRightInd/>
        <w:snapToGrid/>
        <w:ind w:left="0" w:leftChars="0" w:firstLine="600" w:firstLineChars="200"/>
        <w:textAlignment w:val="auto"/>
        <w:rPr>
          <w:rFonts w:hint="default" w:eastAsia="仿宋"/>
          <w:lang w:val="en-US" w:eastAsia="zh-CN"/>
        </w:rPr>
      </w:pPr>
      <w:r>
        <w:rPr>
          <w:rFonts w:hint="eastAsia" w:ascii="仿宋" w:hAnsi="仿宋" w:eastAsia="仿宋" w:cs="仿宋"/>
          <w:kern w:val="2"/>
          <w:sz w:val="30"/>
          <w:szCs w:val="30"/>
          <w:lang w:val="en-US" w:eastAsia="zh-CN" w:bidi="ar-SA"/>
        </w:rPr>
        <w:t>灯箱完成后，照度应达到3</w:t>
      </w:r>
      <w:r>
        <w:rPr>
          <w:rFonts w:hint="eastAsia" w:ascii="仿宋" w:hAnsi="仿宋" w:eastAsia="仿宋" w:cs="仿宋"/>
          <w:sz w:val="30"/>
          <w:szCs w:val="30"/>
          <w:lang w:val="en-US" w:eastAsia="zh-CN"/>
        </w:rPr>
        <w:t>000lux。</w:t>
      </w:r>
    </w:p>
    <w:p>
      <w:pPr>
        <w:keepNext w:val="0"/>
        <w:keepLines w:val="0"/>
        <w:pageBreakBefore w:val="0"/>
        <w:widowControl w:val="0"/>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（2）恒压电源</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LED灯具均配置高效节能型恒压电源。</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电磁干扰：严格控制电磁干扰，符合电磁兼容标准的相关要求</w:t>
      </w:r>
    </w:p>
    <w:tbl>
      <w:tblPr>
        <w:tblStyle w:val="18"/>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508"/>
        <w:gridCol w:w="7230"/>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功率因数</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≥0.95</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电源效率</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kern w:val="32"/>
                <w:sz w:val="24"/>
                <w:szCs w:val="24"/>
              </w:rPr>
              <w:t>&gt;87%</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寿命</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kern w:val="32"/>
                <w:sz w:val="24"/>
                <w:szCs w:val="24"/>
              </w:rPr>
              <w:t>&gt;</w:t>
            </w:r>
            <w:r>
              <w:rPr>
                <w:rFonts w:hint="eastAsia" w:ascii="仿宋" w:hAnsi="仿宋" w:eastAsia="仿宋" w:cs="仿宋"/>
                <w:sz w:val="24"/>
                <w:szCs w:val="24"/>
              </w:rPr>
              <w:t>50000h</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电磁干扰</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严格控制电磁干扰，符合电磁兼容标准EN55015/GB17743的相关要求</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谐波含量</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高于GB17625.1标准的要求，总谐波含量&lt;10%，三次谐波小于5%，无频闪</w:t>
            </w:r>
            <w:r>
              <w:rPr>
                <w:rFonts w:hint="eastAsia" w:ascii="仿宋" w:hAnsi="仿宋" w:eastAsia="仿宋" w:cs="仿宋"/>
                <w:sz w:val="24"/>
                <w:szCs w:val="24"/>
              </w:rPr>
              <w:t>、噪音</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防护等级</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电源变换器外壳及接插件（若有）防护等级不低于IP65</w:t>
            </w:r>
            <w:r>
              <w:rPr>
                <w:rFonts w:hint="eastAsia" w:ascii="仿宋" w:hAnsi="仿宋" w:eastAsia="仿宋" w:cs="仿宋"/>
                <w:kern w:val="32"/>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1779"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其它要求</w:t>
            </w:r>
          </w:p>
        </w:tc>
        <w:tc>
          <w:tcPr>
            <w:tcW w:w="7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启动电流不大于工作电流的两倍</w:t>
            </w:r>
          </w:p>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预热时间：小于3秒，保护灯管寿命，适宜频繁启动</w:t>
            </w:r>
          </w:p>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输入电压范围：在170V～250V范围内，保证恒定功率光输出，低功耗，具有较高的功率转换效率</w:t>
            </w:r>
          </w:p>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工作环境温度范围：-20～+40℃</w:t>
            </w:r>
          </w:p>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sz w:val="24"/>
                <w:szCs w:val="24"/>
              </w:rPr>
            </w:pPr>
            <w:r>
              <w:rPr>
                <w:rFonts w:hint="eastAsia" w:ascii="仿宋" w:hAnsi="仿宋" w:eastAsia="仿宋" w:cs="仿宋"/>
                <w:kern w:val="32"/>
                <w:sz w:val="24"/>
                <w:szCs w:val="24"/>
              </w:rPr>
              <w:t>具备灯管寿终或异常状态自动关断功能，换灯后自动重启</w:t>
            </w:r>
          </w:p>
          <w:p>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具有CQC产品认证</w:t>
            </w:r>
          </w:p>
        </w:tc>
      </w:tr>
    </w:tbl>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控制装置和配线喷以非硬化漆，以防止潮气侵入。</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内部连接电线采用耐火电线，必须穿纤维保护套管，耐温不低于200℃，并予以牢固固定，以避免松开后和镇流器接触。</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布线通过任何金属部件的边缘时，必须穿纤维保护套管，所有布线均暗装于电器箱内部。</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提供完善的保护，如输入电压不足、过电压保护、输出开路与短路保护等。</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小尺寸封装，散热良好，经久耐用，无内置风扇。</w:t>
      </w:r>
    </w:p>
    <w:p>
      <w:pPr>
        <w:pStyle w:val="26"/>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采用工业等级的高质量元件，电容等元件的使用寿命不低于5年。</w:t>
      </w:r>
    </w:p>
    <w:p>
      <w:pPr>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安培数为5A，确保用电安全。</w:t>
      </w:r>
    </w:p>
    <w:p>
      <w:pPr>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产品结构安全性、电气性能应依据固定式灯具的测试要求，达到相关检测标准，并取得产品认证，如CQC、CE、UL认证。</w:t>
      </w:r>
    </w:p>
    <w:p>
      <w:pPr>
        <w:keepNext w:val="0"/>
        <w:keepLines w:val="0"/>
        <w:pageBreakBefore w:val="0"/>
        <w:widowControl w:val="0"/>
        <w:numPr>
          <w:ilvl w:val="0"/>
          <w:numId w:val="15"/>
        </w:numPr>
        <w:kinsoku/>
        <w:wordWrap/>
        <w:overflowPunct/>
        <w:topLinePunct w:val="0"/>
        <w:autoSpaceDE/>
        <w:autoSpaceDN/>
        <w:bidi w:val="0"/>
        <w:adjustRightInd/>
        <w:snapToGrid/>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灯箱内部增设静电排放的设计和设施，外部增设防水的设计和设施。</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4.专用技术条件</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4.1</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生产、设计及审批生产</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4.1.1 </w:t>
      </w:r>
      <w:r>
        <w:rPr>
          <w:rFonts w:hint="eastAsia" w:ascii="仿宋" w:hAnsi="仿宋" w:eastAsia="仿宋" w:cs="仿宋"/>
          <w:sz w:val="30"/>
          <w:szCs w:val="30"/>
        </w:rPr>
        <w:t xml:space="preserve">并按规定的程序提交审批，业主在收到设计图后，需在十天内回复。 </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4.1.2 </w:t>
      </w:r>
      <w:r>
        <w:rPr>
          <w:rFonts w:hint="eastAsia" w:ascii="仿宋" w:hAnsi="仿宋" w:eastAsia="仿宋" w:cs="仿宋"/>
          <w:sz w:val="30"/>
          <w:szCs w:val="30"/>
        </w:rPr>
        <w:t xml:space="preserve">提交业主审批通过的生产所用原材料的使用说明、证明文件、验证报告等，全部文件通过审批后才可生产各类灯箱。业主需在十天内批复。 </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4.1.3 </w:t>
      </w:r>
      <w:r>
        <w:rPr>
          <w:rFonts w:hint="eastAsia" w:ascii="仿宋" w:hAnsi="仿宋" w:eastAsia="仿宋" w:cs="仿宋"/>
          <w:sz w:val="30"/>
          <w:szCs w:val="30"/>
        </w:rPr>
        <w:t>业主有权拒绝接收。</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4.1.4 </w:t>
      </w:r>
      <w:r>
        <w:rPr>
          <w:rFonts w:hint="eastAsia" w:ascii="仿宋" w:hAnsi="仿宋" w:eastAsia="仿宋" w:cs="仿宋"/>
          <w:sz w:val="30"/>
          <w:szCs w:val="30"/>
        </w:rPr>
        <w:t>并必须进行系统地管理和编号，注明日期。</w:t>
      </w:r>
    </w:p>
    <w:p>
      <w:pPr>
        <w:bidi w:val="0"/>
        <w:rPr>
          <w:rFonts w:hint="eastAsia" w:ascii="仿宋" w:hAnsi="仿宋" w:eastAsia="仿宋" w:cs="仿宋"/>
          <w:sz w:val="30"/>
          <w:szCs w:val="30"/>
        </w:rPr>
      </w:pPr>
      <w:r>
        <w:rPr>
          <w:rFonts w:hint="eastAsia" w:ascii="仿宋" w:hAnsi="仿宋" w:eastAsia="仿宋" w:cs="仿宋"/>
          <w:sz w:val="30"/>
          <w:szCs w:val="30"/>
        </w:rPr>
        <w:t>4.2</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制作及安装  </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4.2.1 </w:t>
      </w:r>
      <w:r>
        <w:rPr>
          <w:rFonts w:hint="eastAsia" w:ascii="仿宋" w:hAnsi="仿宋" w:eastAsia="仿宋" w:cs="仿宋"/>
          <w:sz w:val="30"/>
          <w:szCs w:val="30"/>
        </w:rPr>
        <w:t>制作及安装需符合设计要求。</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4.2.2 </w:t>
      </w:r>
      <w:r>
        <w:rPr>
          <w:rFonts w:hint="eastAsia" w:ascii="仿宋" w:hAnsi="仿宋" w:eastAsia="仿宋" w:cs="仿宋"/>
          <w:sz w:val="30"/>
          <w:szCs w:val="30"/>
        </w:rPr>
        <w:t>在油漆或喷涂后再组装其他部件。</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4.2.3 </w:t>
      </w:r>
      <w:r>
        <w:rPr>
          <w:rFonts w:hint="eastAsia" w:ascii="仿宋" w:hAnsi="仿宋" w:eastAsia="仿宋" w:cs="仿宋"/>
          <w:sz w:val="30"/>
          <w:szCs w:val="30"/>
        </w:rPr>
        <w:t>灯箱箱体需有足够强度，稳定性和刚度，其设计组成应符合现行钢铁设计规范，及符合采购方的规格要求。</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4.2.4 </w:t>
      </w:r>
      <w:r>
        <w:rPr>
          <w:rFonts w:hint="eastAsia" w:ascii="仿宋" w:hAnsi="仿宋" w:eastAsia="仿宋" w:cs="仿宋"/>
          <w:sz w:val="30"/>
          <w:szCs w:val="30"/>
        </w:rPr>
        <w:t>活动部分的原件组合禁止使用拉铆连接，必须使用加弹簧垫的螺栓连接。</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4.2.5 </w:t>
      </w:r>
      <w:r>
        <w:rPr>
          <w:rFonts w:hint="eastAsia" w:ascii="仿宋" w:hAnsi="仿宋" w:eastAsia="仿宋" w:cs="仿宋"/>
          <w:sz w:val="30"/>
          <w:szCs w:val="30"/>
        </w:rPr>
        <w:t>灯箱画布采用进口3M布喷绘，画布安装时须在型材上固定钢丝呈十字形，画布四边预先穿入铅丝，并与型材四边预留的画钩用扎丝固定。</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4.2.6 </w:t>
      </w:r>
      <w:r>
        <w:rPr>
          <w:rFonts w:hint="eastAsia" w:ascii="仿宋" w:hAnsi="仿宋" w:eastAsia="仿宋" w:cs="仿宋"/>
          <w:sz w:val="30"/>
          <w:szCs w:val="30"/>
        </w:rPr>
        <w:t>尽可能保留覆盖层并保持干燥，不要与泥浆、灰尘、石膏和水泥相接触。</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4.2.7 </w:t>
      </w:r>
      <w:r>
        <w:rPr>
          <w:rFonts w:hint="eastAsia" w:ascii="仿宋" w:hAnsi="仿宋" w:eastAsia="仿宋" w:cs="仿宋"/>
          <w:sz w:val="30"/>
          <w:szCs w:val="30"/>
        </w:rPr>
        <w:t>制作木质隔板与垫衬进行包装，防止金属构件在运输、装卸和存储过程中变形。</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4.2.8 </w:t>
      </w:r>
      <w:r>
        <w:rPr>
          <w:rFonts w:hint="eastAsia" w:ascii="仿宋" w:hAnsi="仿宋" w:eastAsia="仿宋" w:cs="仿宋"/>
          <w:sz w:val="30"/>
          <w:szCs w:val="30"/>
        </w:rPr>
        <w:t>灯箱需妥善密封，防止灰尘进入，防止裸露出来的表面被损坏而产生毛刺、凹凸等。</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4.2.9 </w:t>
      </w:r>
      <w:r>
        <w:rPr>
          <w:rFonts w:hint="eastAsia" w:ascii="仿宋" w:hAnsi="仿宋" w:eastAsia="仿宋" w:cs="仿宋"/>
          <w:sz w:val="30"/>
          <w:szCs w:val="30"/>
        </w:rPr>
        <w:t>制作加工及吊运需妥善处理，以防止箱体变形或受到破损。</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4.2.10 </w:t>
      </w:r>
      <w:r>
        <w:rPr>
          <w:rFonts w:hint="eastAsia" w:ascii="仿宋" w:hAnsi="仿宋" w:eastAsia="仿宋" w:cs="仿宋"/>
          <w:sz w:val="30"/>
          <w:szCs w:val="30"/>
        </w:rPr>
        <w:t>所有电器部分需牢固收紧，所有灯箱内部线路需整齐排列，牢固固定于灯箱箱体。</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4.2.11 </w:t>
      </w:r>
      <w:r>
        <w:rPr>
          <w:rFonts w:hint="eastAsia" w:ascii="仿宋" w:hAnsi="仿宋" w:eastAsia="仿宋" w:cs="仿宋"/>
          <w:sz w:val="30"/>
          <w:szCs w:val="30"/>
        </w:rPr>
        <w:t>除装置在灯箱内部驳接部分的电缆外，所有电缆需置于金属套管内。</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4.2.12 </w:t>
      </w:r>
      <w:r>
        <w:rPr>
          <w:rFonts w:hint="eastAsia" w:ascii="仿宋" w:hAnsi="仿宋" w:eastAsia="仿宋" w:cs="仿宋"/>
          <w:sz w:val="30"/>
          <w:szCs w:val="30"/>
        </w:rPr>
        <w:t>应明确灯箱与墙面间的安装点数量，每款灯箱必须配备足够的安装角码及安装配件。</w:t>
      </w:r>
    </w:p>
    <w:p>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4.2.13 </w:t>
      </w:r>
      <w:r>
        <w:rPr>
          <w:rFonts w:hint="eastAsia" w:ascii="仿宋" w:hAnsi="仿宋" w:eastAsia="仿宋" w:cs="仿宋"/>
          <w:sz w:val="30"/>
          <w:szCs w:val="30"/>
        </w:rPr>
        <w:t>固定零部件的螺钉都采用拉铆螺母。</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5.供货要求</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广告灯箱供应商应根据业主下达的指令按期供货，并最迟在</w:t>
      </w:r>
      <w:r>
        <w:rPr>
          <w:rFonts w:hint="eastAsia" w:ascii="仿宋" w:hAnsi="仿宋" w:eastAsia="仿宋" w:cs="仿宋"/>
          <w:sz w:val="30"/>
          <w:szCs w:val="30"/>
          <w:lang w:val="en-US" w:eastAsia="zh-CN"/>
        </w:rPr>
        <w:t>45</w:t>
      </w:r>
      <w:r>
        <w:rPr>
          <w:rFonts w:hint="eastAsia" w:ascii="仿宋" w:hAnsi="仿宋" w:eastAsia="仿宋" w:cs="仿宋"/>
          <w:sz w:val="30"/>
          <w:szCs w:val="30"/>
        </w:rPr>
        <w:t>天完成供货。为确保按期供货，相关产品必须提前到货。</w:t>
      </w:r>
    </w:p>
    <w:p>
      <w:pPr>
        <w:pStyle w:val="6"/>
        <w:keepNext/>
        <w:keepLines/>
        <w:pageBreakBefore w:val="0"/>
        <w:widowControl w:val="0"/>
        <w:numPr>
          <w:ilvl w:val="2"/>
          <w:numId w:val="0"/>
        </w:numPr>
        <w:tabs>
          <w:tab w:val="left" w:pos="1307"/>
        </w:tabs>
        <w:kinsoku/>
        <w:wordWrap/>
        <w:overflowPunct/>
        <w:topLinePunct w:val="0"/>
        <w:autoSpaceDE/>
        <w:autoSpaceDN/>
        <w:bidi w:val="0"/>
        <w:adjustRightInd/>
        <w:snapToGrid/>
        <w:spacing w:before="0" w:after="0" w:line="413" w:lineRule="auto"/>
        <w:ind w:leftChars="0"/>
        <w:textAlignment w:val="auto"/>
        <w:rPr>
          <w:rFonts w:hint="eastAsia"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6.设备及服务清单</w:t>
      </w:r>
    </w:p>
    <w:p>
      <w:pPr>
        <w:bidi w:val="0"/>
        <w:jc w:val="center"/>
        <w:rPr>
          <w:rFonts w:hint="eastAsia" w:ascii="仿宋" w:hAnsi="仿宋" w:eastAsia="仿宋" w:cs="仿宋"/>
          <w:b/>
          <w:sz w:val="30"/>
          <w:szCs w:val="30"/>
        </w:rPr>
      </w:pPr>
      <w:r>
        <w:rPr>
          <w:rFonts w:hint="eastAsia" w:ascii="仿宋" w:hAnsi="仿宋" w:eastAsia="仿宋" w:cs="仿宋"/>
          <w:b/>
          <w:sz w:val="30"/>
          <w:szCs w:val="30"/>
        </w:rPr>
        <w:t>表</w:t>
      </w:r>
      <w:r>
        <w:rPr>
          <w:rFonts w:hint="eastAsia" w:ascii="仿宋" w:hAnsi="仿宋" w:eastAsia="仿宋" w:cs="仿宋"/>
          <w:b/>
          <w:sz w:val="30"/>
          <w:szCs w:val="30"/>
          <w:lang w:val="en-US" w:eastAsia="zh-CN"/>
        </w:rPr>
        <w:t>5</w:t>
      </w:r>
      <w:r>
        <w:rPr>
          <w:rFonts w:hint="eastAsia" w:ascii="仿宋" w:hAnsi="仿宋" w:eastAsia="仿宋" w:cs="仿宋"/>
          <w:b/>
          <w:sz w:val="30"/>
          <w:szCs w:val="30"/>
        </w:rPr>
        <w:t>：灯箱安装工程物理接口一览表</w:t>
      </w:r>
    </w:p>
    <w:tbl>
      <w:tblPr>
        <w:tblStyle w:val="18"/>
        <w:tblW w:w="95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84"/>
        <w:gridCol w:w="2280"/>
        <w:gridCol w:w="2040"/>
        <w:gridCol w:w="1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704"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接口项目</w:t>
            </w:r>
          </w:p>
        </w:tc>
        <w:tc>
          <w:tcPr>
            <w:tcW w:w="2184"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装修承包商负责</w:t>
            </w:r>
          </w:p>
        </w:tc>
        <w:tc>
          <w:tcPr>
            <w:tcW w:w="2280"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灯箱承包商负责</w:t>
            </w:r>
          </w:p>
        </w:tc>
        <w:tc>
          <w:tcPr>
            <w:tcW w:w="2040"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接口功能说明</w:t>
            </w:r>
          </w:p>
        </w:tc>
        <w:tc>
          <w:tcPr>
            <w:tcW w:w="139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接口位置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lang w:eastAsia="zh-CN"/>
              </w:rPr>
              <w:t>二楼</w:t>
            </w:r>
            <w:r>
              <w:rPr>
                <w:rFonts w:hint="eastAsia" w:ascii="仿宋" w:hAnsi="仿宋" w:eastAsia="仿宋" w:cs="仿宋"/>
                <w:sz w:val="24"/>
                <w:szCs w:val="24"/>
              </w:rPr>
              <w:t>广告</w:t>
            </w:r>
          </w:p>
        </w:tc>
        <w:tc>
          <w:tcPr>
            <w:tcW w:w="2184" w:type="dxa"/>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负责配电箱至灯箱</w:t>
            </w:r>
            <w:r>
              <w:rPr>
                <w:rFonts w:hint="eastAsia" w:ascii="仿宋" w:hAnsi="仿宋" w:eastAsia="仿宋" w:cs="仿宋"/>
                <w:sz w:val="24"/>
                <w:szCs w:val="24"/>
                <w:lang w:eastAsia="zh-CN"/>
              </w:rPr>
              <w:t>安装处</w:t>
            </w:r>
            <w:r>
              <w:rPr>
                <w:rFonts w:hint="eastAsia" w:ascii="仿宋" w:hAnsi="仿宋" w:eastAsia="仿宋" w:cs="仿宋"/>
                <w:sz w:val="24"/>
                <w:szCs w:val="24"/>
              </w:rPr>
              <w:t>的管线敷设。</w:t>
            </w:r>
          </w:p>
          <w:p>
            <w:pPr>
              <w:spacing w:line="240" w:lineRule="auto"/>
              <w:rPr>
                <w:rFonts w:hint="eastAsia" w:ascii="仿宋" w:hAnsi="仿宋" w:eastAsia="仿宋" w:cs="仿宋"/>
                <w:sz w:val="24"/>
                <w:szCs w:val="24"/>
              </w:rPr>
            </w:pPr>
          </w:p>
        </w:tc>
        <w:tc>
          <w:tcPr>
            <w:tcW w:w="2280" w:type="dxa"/>
            <w:noWrap w:val="0"/>
            <w:vAlign w:val="center"/>
          </w:tcPr>
          <w:p>
            <w:pPr>
              <w:tabs>
                <w:tab w:val="left" w:pos="360"/>
              </w:tabs>
              <w:spacing w:line="240" w:lineRule="auto"/>
              <w:rPr>
                <w:rFonts w:hint="eastAsia" w:ascii="仿宋" w:hAnsi="仿宋" w:eastAsia="仿宋" w:cs="仿宋"/>
                <w:sz w:val="24"/>
                <w:szCs w:val="24"/>
              </w:rPr>
            </w:pPr>
            <w:r>
              <w:rPr>
                <w:rFonts w:hint="eastAsia" w:ascii="仿宋" w:hAnsi="仿宋" w:eastAsia="仿宋" w:cs="仿宋"/>
                <w:sz w:val="24"/>
                <w:szCs w:val="24"/>
              </w:rPr>
              <w:t>1.提供灯箱设计及施工深化方案，制作提供灯箱及箱体需要的安装构件，并做安装、收口装修以及调试、验收。</w:t>
            </w:r>
          </w:p>
          <w:p>
            <w:pPr>
              <w:tabs>
                <w:tab w:val="left" w:pos="360"/>
              </w:tabs>
              <w:spacing w:line="240" w:lineRule="auto"/>
              <w:rPr>
                <w:rFonts w:hint="eastAsia" w:ascii="仿宋" w:hAnsi="仿宋" w:eastAsia="仿宋" w:cs="仿宋"/>
                <w:sz w:val="24"/>
                <w:szCs w:val="24"/>
              </w:rPr>
            </w:pPr>
            <w:r>
              <w:rPr>
                <w:rFonts w:hint="eastAsia" w:ascii="仿宋" w:hAnsi="仿宋" w:eastAsia="仿宋" w:cs="仿宋"/>
                <w:sz w:val="24"/>
                <w:szCs w:val="24"/>
              </w:rPr>
              <w:t>2.提供至灯箱的电源线。</w:t>
            </w:r>
          </w:p>
        </w:tc>
        <w:tc>
          <w:tcPr>
            <w:tcW w:w="2040" w:type="dxa"/>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装修为灯箱提供电源和控制，灯箱厂家负责灯箱安装和装修收口</w:t>
            </w:r>
          </w:p>
        </w:tc>
        <w:tc>
          <w:tcPr>
            <w:tcW w:w="1391" w:type="dxa"/>
            <w:noWrap w:val="0"/>
            <w:vAlign w:val="center"/>
          </w:tcPr>
          <w:p>
            <w:pPr>
              <w:rPr>
                <w:rFonts w:hint="eastAsia" w:ascii="仿宋" w:hAnsi="仿宋" w:eastAsia="仿宋" w:cs="仿宋"/>
                <w:sz w:val="24"/>
                <w:szCs w:val="24"/>
              </w:rPr>
            </w:pPr>
          </w:p>
        </w:tc>
      </w:tr>
    </w:tbl>
    <w:p>
      <w:pPr>
        <w:pStyle w:val="3"/>
        <w:keepNext w:val="0"/>
        <w:keepLines w:val="0"/>
        <w:pageBreakBefore w:val="0"/>
        <w:widowControl w:val="0"/>
        <w:tabs>
          <w:tab w:val="left" w:pos="993"/>
          <w:tab w:val="left" w:pos="1701"/>
        </w:tabs>
        <w:kinsoku/>
        <w:wordWrap/>
        <w:overflowPunct/>
        <w:topLinePunct w:val="0"/>
        <w:autoSpaceDE/>
        <w:autoSpaceDN/>
        <w:bidi w:val="0"/>
        <w:adjustRightInd/>
        <w:snapToGrid/>
        <w:spacing w:after="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.1. 功能要求</w:t>
      </w:r>
    </w:p>
    <w:p>
      <w:pPr>
        <w:keepNext w:val="0"/>
        <w:keepLines w:val="0"/>
        <w:pageBreakBefore w:val="0"/>
        <w:widowControl w:val="0"/>
        <w:numPr>
          <w:ilvl w:val="0"/>
          <w:numId w:val="16"/>
        </w:numPr>
        <w:tabs>
          <w:tab w:val="left" w:pos="900"/>
          <w:tab w:val="left" w:pos="1080"/>
        </w:tabs>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灯箱应有防潮，防雷保护；且应设有短路保护、漏电保护、过流、过压保护。</w:t>
      </w:r>
    </w:p>
    <w:p>
      <w:pPr>
        <w:keepNext w:val="0"/>
        <w:keepLines w:val="0"/>
        <w:pageBreakBefore w:val="0"/>
        <w:widowControl w:val="0"/>
        <w:numPr>
          <w:ilvl w:val="0"/>
          <w:numId w:val="16"/>
        </w:numPr>
        <w:tabs>
          <w:tab w:val="left" w:pos="900"/>
          <w:tab w:val="left" w:pos="1080"/>
        </w:tabs>
        <w:kinsoku/>
        <w:wordWrap/>
        <w:overflowPunct/>
        <w:topLinePunct w:val="0"/>
        <w:autoSpaceDE/>
        <w:autoSpaceDN/>
        <w:bidi w:val="0"/>
        <w:adjustRightInd/>
        <w:snapToGrid/>
        <w:ind w:left="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嵌入式媒体：如灯箱安装在水泥墙壁上，则卖方安装时直接用化学锚栓或者不锈钢膨胀螺栓固定即可；如安装在轻质砖墙上，则卖方需在车站装修时做预留固定件；如墙壁厚度在14CM以上，则卖方采用固定现有墙面装饰材料的龙骨连接法、以及从地面支撑固定法、或穿墙连接法均可。</w:t>
      </w:r>
    </w:p>
    <w:p>
      <w:pPr>
        <w:pStyle w:val="3"/>
        <w:keepNext w:val="0"/>
        <w:keepLines w:val="0"/>
        <w:pageBreakBefore w:val="0"/>
        <w:widowControl w:val="0"/>
        <w:tabs>
          <w:tab w:val="left" w:pos="993"/>
          <w:tab w:val="left" w:pos="1701"/>
        </w:tabs>
        <w:kinsoku/>
        <w:wordWrap/>
        <w:overflowPunct/>
        <w:topLinePunct w:val="0"/>
        <w:autoSpaceDE/>
        <w:autoSpaceDN/>
        <w:bidi w:val="0"/>
        <w:adjustRightInd/>
        <w:snapToGrid/>
        <w:spacing w:after="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.2  接口文件要求</w:t>
      </w:r>
    </w:p>
    <w:p>
      <w:pPr>
        <w:pStyle w:val="3"/>
        <w:keepNext w:val="0"/>
        <w:keepLines w:val="0"/>
        <w:pageBreakBefore w:val="0"/>
        <w:widowControl w:val="0"/>
        <w:tabs>
          <w:tab w:val="left" w:pos="993"/>
          <w:tab w:val="left" w:pos="1701"/>
        </w:tabs>
        <w:kinsoku/>
        <w:wordWrap/>
        <w:overflowPunct/>
        <w:topLinePunct w:val="0"/>
        <w:autoSpaceDE/>
        <w:autoSpaceDN/>
        <w:bidi w:val="0"/>
        <w:adjustRightInd/>
        <w:snapToGrid/>
        <w:spacing w:after="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广告灯箱卖方和土建承包商须按照下表（表15）确定的接口文件责任划分，完成接口部分的协调、配合和施工。</w:t>
      </w:r>
    </w:p>
    <w:p>
      <w:pPr>
        <w:bidi w:val="0"/>
        <w:ind w:firstLine="292" w:firstLineChars="97"/>
        <w:jc w:val="center"/>
        <w:rPr>
          <w:rFonts w:hint="eastAsia" w:ascii="仿宋" w:hAnsi="仿宋" w:eastAsia="仿宋" w:cs="仿宋"/>
          <w:b/>
          <w:sz w:val="30"/>
          <w:szCs w:val="30"/>
        </w:rPr>
      </w:pPr>
      <w:r>
        <w:rPr>
          <w:rFonts w:hint="eastAsia" w:ascii="仿宋" w:hAnsi="仿宋" w:eastAsia="仿宋" w:cs="仿宋"/>
          <w:b/>
          <w:sz w:val="30"/>
          <w:szCs w:val="30"/>
        </w:rPr>
        <w:t>表</w:t>
      </w:r>
      <w:r>
        <w:rPr>
          <w:rFonts w:hint="eastAsia" w:ascii="仿宋" w:hAnsi="仿宋" w:eastAsia="仿宋" w:cs="仿宋"/>
          <w:b/>
          <w:sz w:val="30"/>
          <w:szCs w:val="30"/>
          <w:lang w:val="en-US" w:eastAsia="zh-CN"/>
        </w:rPr>
        <w:t>6</w:t>
      </w:r>
      <w:r>
        <w:rPr>
          <w:rFonts w:hint="eastAsia" w:ascii="仿宋" w:hAnsi="仿宋" w:eastAsia="仿宋" w:cs="仿宋"/>
          <w:b/>
          <w:sz w:val="30"/>
          <w:szCs w:val="30"/>
        </w:rPr>
        <w:t>：灯箱安装工程接口文件责任划分表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2"/>
        <w:gridCol w:w="3052"/>
        <w:gridCol w:w="3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442"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装修承包商责任</w:t>
            </w:r>
          </w:p>
        </w:tc>
        <w:tc>
          <w:tcPr>
            <w:tcW w:w="3052"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广告灯箱卖方责任</w:t>
            </w:r>
          </w:p>
        </w:tc>
        <w:tc>
          <w:tcPr>
            <w:tcW w:w="300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完成时间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42"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配合及确认相关资料</w:t>
            </w:r>
          </w:p>
        </w:tc>
        <w:tc>
          <w:tcPr>
            <w:tcW w:w="3052"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提供广告灯箱的安装图</w:t>
            </w:r>
          </w:p>
        </w:tc>
        <w:tc>
          <w:tcPr>
            <w:tcW w:w="300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装修承包商招标后的设计交底</w:t>
            </w:r>
          </w:p>
        </w:tc>
      </w:tr>
    </w:tbl>
    <w:p>
      <w:pPr>
        <w:pStyle w:val="3"/>
        <w:keepNext w:val="0"/>
        <w:keepLines w:val="0"/>
        <w:pageBreakBefore w:val="0"/>
        <w:widowControl w:val="0"/>
        <w:tabs>
          <w:tab w:val="left" w:pos="993"/>
          <w:tab w:val="left" w:pos="1701"/>
        </w:tabs>
        <w:kinsoku/>
        <w:wordWrap/>
        <w:overflowPunct/>
        <w:topLinePunct w:val="0"/>
        <w:autoSpaceDE/>
        <w:autoSpaceDN/>
        <w:bidi w:val="0"/>
        <w:adjustRightInd/>
        <w:snapToGrid/>
        <w:spacing w:after="0" w:line="360" w:lineRule="auto"/>
        <w:jc w:val="left"/>
        <w:textAlignment w:val="auto"/>
        <w:rPr>
          <w:rFonts w:hint="eastAsia"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7.测试要求</w:t>
      </w:r>
    </w:p>
    <w:p>
      <w:pPr>
        <w:pStyle w:val="3"/>
        <w:keepNext w:val="0"/>
        <w:keepLines w:val="0"/>
        <w:pageBreakBefore w:val="0"/>
        <w:widowControl w:val="0"/>
        <w:tabs>
          <w:tab w:val="left" w:pos="993"/>
          <w:tab w:val="left" w:pos="1701"/>
        </w:tabs>
        <w:kinsoku/>
        <w:wordWrap/>
        <w:overflowPunct/>
        <w:topLinePunct w:val="0"/>
        <w:autoSpaceDE/>
        <w:autoSpaceDN/>
        <w:bidi w:val="0"/>
        <w:adjustRightInd/>
        <w:snapToGrid/>
        <w:spacing w:after="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下表（表</w:t>
      </w:r>
      <w:r>
        <w:rPr>
          <w:rFonts w:hint="eastAsia" w:ascii="仿宋" w:hAnsi="仿宋" w:eastAsia="仿宋" w:cs="仿宋"/>
          <w:sz w:val="30"/>
          <w:szCs w:val="30"/>
          <w:lang w:val="en-US" w:eastAsia="zh-CN"/>
        </w:rPr>
        <w:t>7</w:t>
      </w:r>
      <w:r>
        <w:rPr>
          <w:rFonts w:hint="eastAsia" w:ascii="仿宋" w:hAnsi="仿宋" w:eastAsia="仿宋" w:cs="仿宋"/>
          <w:sz w:val="30"/>
          <w:szCs w:val="30"/>
        </w:rPr>
        <w:t xml:space="preserve">）测试内容将由广告灯箱卖方和装修承包商共同验证： </w:t>
      </w:r>
    </w:p>
    <w:p>
      <w:pPr>
        <w:bidi w:val="0"/>
        <w:ind w:firstLine="292" w:firstLineChars="97"/>
        <w:jc w:val="center"/>
        <w:rPr>
          <w:rFonts w:hint="eastAsia" w:ascii="仿宋" w:hAnsi="仿宋" w:eastAsia="仿宋" w:cs="仿宋"/>
          <w:b/>
          <w:sz w:val="30"/>
          <w:szCs w:val="30"/>
        </w:rPr>
      </w:pPr>
      <w:r>
        <w:rPr>
          <w:rFonts w:hint="eastAsia" w:ascii="仿宋" w:hAnsi="仿宋" w:eastAsia="仿宋" w:cs="仿宋"/>
          <w:b/>
          <w:sz w:val="30"/>
          <w:szCs w:val="30"/>
        </w:rPr>
        <w:t>表</w:t>
      </w:r>
      <w:r>
        <w:rPr>
          <w:rFonts w:hint="eastAsia" w:ascii="仿宋" w:hAnsi="仿宋" w:eastAsia="仿宋" w:cs="仿宋"/>
          <w:b/>
          <w:sz w:val="30"/>
          <w:szCs w:val="30"/>
          <w:lang w:val="en-US" w:eastAsia="zh-CN"/>
        </w:rPr>
        <w:t>8</w:t>
      </w:r>
      <w:r>
        <w:rPr>
          <w:rFonts w:hint="eastAsia" w:ascii="仿宋" w:hAnsi="仿宋" w:eastAsia="仿宋" w:cs="仿宋"/>
          <w:b/>
          <w:sz w:val="30"/>
          <w:szCs w:val="30"/>
        </w:rPr>
        <w:t>：灯箱安装工程测试表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4146"/>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911" w:type="dxa"/>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类别</w:t>
            </w:r>
          </w:p>
        </w:tc>
        <w:tc>
          <w:tcPr>
            <w:tcW w:w="4146" w:type="dxa"/>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目的</w:t>
            </w:r>
          </w:p>
        </w:tc>
        <w:tc>
          <w:tcPr>
            <w:tcW w:w="2343" w:type="dxa"/>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有关物理接口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911"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目视检查</w:t>
            </w:r>
          </w:p>
        </w:tc>
        <w:tc>
          <w:tcPr>
            <w:tcW w:w="4146" w:type="dxa"/>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1.检查各接口是否满足灯箱安装的相关要求；</w:t>
            </w:r>
          </w:p>
          <w:p>
            <w:pPr>
              <w:spacing w:line="240" w:lineRule="auto"/>
              <w:rPr>
                <w:rFonts w:hint="eastAsia" w:ascii="仿宋" w:hAnsi="仿宋" w:eastAsia="仿宋" w:cs="仿宋"/>
                <w:sz w:val="24"/>
                <w:szCs w:val="24"/>
              </w:rPr>
            </w:pPr>
            <w:r>
              <w:rPr>
                <w:rFonts w:hint="eastAsia" w:ascii="仿宋" w:hAnsi="仿宋" w:eastAsia="仿宋" w:cs="仿宋"/>
                <w:sz w:val="24"/>
                <w:szCs w:val="24"/>
              </w:rPr>
              <w:t>2.安装是否恰当地、正确地按照设计实施；</w:t>
            </w:r>
          </w:p>
          <w:p>
            <w:pPr>
              <w:spacing w:line="240" w:lineRule="auto"/>
              <w:rPr>
                <w:rFonts w:hint="eastAsia" w:ascii="仿宋" w:hAnsi="仿宋" w:eastAsia="仿宋" w:cs="仿宋"/>
                <w:sz w:val="24"/>
                <w:szCs w:val="24"/>
              </w:rPr>
            </w:pPr>
            <w:r>
              <w:rPr>
                <w:rFonts w:hint="eastAsia" w:ascii="仿宋" w:hAnsi="仿宋" w:eastAsia="仿宋" w:cs="仿宋"/>
                <w:sz w:val="24"/>
                <w:szCs w:val="24"/>
              </w:rPr>
              <w:t>3.目视检查在安装完成后在现场进行。</w:t>
            </w:r>
          </w:p>
        </w:tc>
        <w:tc>
          <w:tcPr>
            <w:tcW w:w="2343"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所有接口</w:t>
            </w:r>
          </w:p>
        </w:tc>
      </w:tr>
    </w:tbl>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8.安装要求</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 xml:space="preserve">  安装施工规范要求</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.1  施工前必须认真核对施工图纸，对现场建筑物与钢结构的连接点认真核查，按图施工。</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.2  确定灯箱安装的位置，根据实际情况和灯箱品种确定安装方法。</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.3  根据灯箱背面的安装角码位置或现场实际尺寸来确定安装灯箱的固定点。</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.4  钢结构与膨胀螺栓的固定点及钢架与预埋金属固定构件的焊接必须可靠，并进行特别的防锈处理。</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.5  连接件、各构件之间除图纸另有规定外，构件之间均用电焊连接，贴角焊缝长度为满焊焊缝，并符合焊接工艺的要求。</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.6  施工时必须要有防火、安全防范措施，严禁火星溅落。</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.7  钢结构安装完毕应即进行防锈处理，先去锈，然后涂上二层防锈漆，再外涂油漆。</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.8  灯箱固定在墙面上或立于地面上均须符合建筑安装的技术规范，连接的化学锚栓或者不锈钢膨胀螺栓及预埋金属固定构件，必须能承受满足灯箱整体框架重量及相关安全系数余量的拉力，必要时要在单面、双面或三面多处用撑脚支撑灯箱，确保安全。</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.9  安装支点是砖墙须用卧铁或对销螺栓。</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 xml:space="preserve"> 灯箱上下必须垂直，不得歪斜。</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 xml:space="preserve"> 广告灯箱安装完毕后，灯箱表面应保证与墙面完成面齐平的安装要求。</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2</w:t>
      </w:r>
      <w:r>
        <w:rPr>
          <w:rFonts w:hint="eastAsia" w:ascii="仿宋" w:hAnsi="仿宋" w:eastAsia="仿宋" w:cs="仿宋"/>
          <w:sz w:val="30"/>
          <w:szCs w:val="30"/>
        </w:rPr>
        <w:t xml:space="preserve">  不允许对设备进行任何形式的修补或修复，除非买方认为设备受损不严重，认为可采用认可的方法实现修复。</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 xml:space="preserve">  提交 </w:t>
      </w:r>
    </w:p>
    <w:p>
      <w:pPr>
        <w:pStyle w:val="27"/>
        <w:keepNext w:val="0"/>
        <w:keepLines w:val="0"/>
        <w:pageBreakBefore w:val="0"/>
        <w:kinsoku/>
        <w:wordWrap/>
        <w:overflowPunct/>
        <w:topLinePunct w:val="0"/>
        <w:autoSpaceDE/>
        <w:autoSpaceDN/>
        <w:bidi w:val="0"/>
        <w:adjustRightInd/>
        <w:snapToGrid/>
        <w:spacing w:before="0" w:beforeLines="0" w:after="0" w:afterLines="0" w:line="240" w:lineRule="auto"/>
        <w:ind w:left="0" w:leftChars="0" w:firstLine="600" w:firstLineChars="200"/>
        <w:textAlignment w:val="auto"/>
        <w:rPr>
          <w:rFonts w:hint="eastAsia" w:ascii="仿宋" w:hAnsi="仿宋" w:eastAsia="仿宋" w:cs="仿宋"/>
          <w:spacing w:val="0"/>
          <w:kern w:val="2"/>
          <w:sz w:val="30"/>
          <w:szCs w:val="30"/>
          <w:lang w:val="en-US" w:eastAsia="zh-CN"/>
        </w:rPr>
      </w:pPr>
      <w:r>
        <w:rPr>
          <w:rFonts w:hint="eastAsia" w:ascii="仿宋" w:hAnsi="仿宋" w:eastAsia="仿宋" w:cs="仿宋"/>
          <w:spacing w:val="0"/>
          <w:kern w:val="2"/>
          <w:sz w:val="30"/>
          <w:szCs w:val="30"/>
          <w:lang w:val="en-US" w:eastAsia="zh-CN"/>
        </w:rPr>
        <w:t>卖方须确保提交的文件及资料应能够被买方立即用于审核的带有相关资质的有效文件，而毋须再作修改、复位格式或再进行任何其它操作。卖方提交的文件及资料须包括（但不限于）：制作/施工图纸、计算结果、样品、证书、质量检验报告、其它资料（包括产品合格证明、保修卡、质保证明、使用说明、安装手册及维护手册）等。</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4</w:t>
      </w:r>
      <w:r>
        <w:rPr>
          <w:rFonts w:hint="eastAsia" w:ascii="仿宋" w:hAnsi="仿宋" w:eastAsia="仿宋" w:cs="仿宋"/>
          <w:sz w:val="30"/>
          <w:szCs w:val="30"/>
        </w:rPr>
        <w:t>.1 制作/施工图纸</w:t>
      </w:r>
    </w:p>
    <w:p>
      <w:pPr>
        <w:pStyle w:val="27"/>
        <w:keepNext w:val="0"/>
        <w:keepLines w:val="0"/>
        <w:pageBreakBefore w:val="0"/>
        <w:widowControl/>
        <w:numPr>
          <w:ilvl w:val="0"/>
          <w:numId w:val="17"/>
        </w:numPr>
        <w:tabs>
          <w:tab w:val="left" w:pos="-81"/>
          <w:tab w:val="clear" w:pos="945"/>
        </w:tabs>
        <w:kinsoku/>
        <w:wordWrap/>
        <w:overflowPunct/>
        <w:topLinePunct w:val="0"/>
        <w:autoSpaceDE/>
        <w:autoSpaceDN/>
        <w:bidi w:val="0"/>
        <w:adjustRightInd/>
        <w:snapToGrid/>
        <w:spacing w:before="0" w:beforeLines="0" w:after="0" w:afterLines="0" w:line="240" w:lineRule="auto"/>
        <w:ind w:left="0" w:leftChars="0" w:firstLine="600" w:firstLineChars="200"/>
        <w:textAlignment w:val="auto"/>
        <w:rPr>
          <w:rFonts w:hint="eastAsia" w:ascii="仿宋" w:hAnsi="仿宋" w:eastAsia="仿宋" w:cs="仿宋"/>
          <w:spacing w:val="0"/>
          <w:kern w:val="2"/>
          <w:sz w:val="30"/>
          <w:szCs w:val="30"/>
          <w:lang w:val="en-US" w:eastAsia="zh-CN"/>
        </w:rPr>
      </w:pPr>
      <w:r>
        <w:rPr>
          <w:rFonts w:hint="eastAsia" w:ascii="仿宋" w:hAnsi="仿宋" w:eastAsia="仿宋" w:cs="仿宋"/>
          <w:spacing w:val="0"/>
          <w:kern w:val="2"/>
          <w:sz w:val="30"/>
          <w:szCs w:val="30"/>
          <w:lang w:val="en-US" w:eastAsia="zh-CN"/>
        </w:rPr>
        <w:t>制作/施工图必须至少包含以下资料：</w:t>
      </w:r>
    </w:p>
    <w:p>
      <w:pPr>
        <w:pStyle w:val="28"/>
        <w:keepNext w:val="0"/>
        <w:keepLines w:val="0"/>
        <w:pageBreakBefore w:val="0"/>
        <w:widowControl/>
        <w:numPr>
          <w:ilvl w:val="0"/>
          <w:numId w:val="17"/>
        </w:numPr>
        <w:tabs>
          <w:tab w:val="left" w:pos="0"/>
          <w:tab w:val="left" w:pos="525"/>
          <w:tab w:val="left" w:pos="900"/>
          <w:tab w:val="left" w:pos="1080"/>
          <w:tab w:val="clear" w:pos="945"/>
        </w:tabs>
        <w:kinsoku/>
        <w:wordWrap/>
        <w:overflowPunct/>
        <w:topLinePunct w:val="0"/>
        <w:autoSpaceDE/>
        <w:autoSpaceDN/>
        <w:bidi w:val="0"/>
        <w:adjustRightInd/>
        <w:snapToGrid/>
        <w:spacing w:before="0" w:beforeLines="0" w:after="0" w:afterLines="0" w:line="240" w:lineRule="auto"/>
        <w:ind w:left="0" w:leftChars="0" w:firstLine="600" w:firstLineChars="200"/>
        <w:jc w:val="both"/>
        <w:textAlignment w:val="auto"/>
        <w:rPr>
          <w:rFonts w:hint="eastAsia" w:ascii="仿宋" w:hAnsi="仿宋" w:eastAsia="仿宋" w:cs="仿宋"/>
          <w:kern w:val="2"/>
          <w:sz w:val="30"/>
          <w:szCs w:val="30"/>
          <w:lang w:val="en-US"/>
        </w:rPr>
      </w:pPr>
      <w:r>
        <w:rPr>
          <w:rFonts w:hint="eastAsia" w:ascii="仿宋" w:hAnsi="仿宋" w:eastAsia="仿宋" w:cs="仿宋"/>
          <w:kern w:val="2"/>
          <w:sz w:val="30"/>
          <w:szCs w:val="30"/>
          <w:lang w:val="en-US"/>
        </w:rPr>
        <w:t>说明每个广告灯箱的制作步骤的各项制作细则，包括组装、接合位置、绞链排列、金属制作、线缆套管排列、显示介质的位置以及其它必要的详细资料。</w:t>
      </w:r>
    </w:p>
    <w:p>
      <w:pPr>
        <w:pStyle w:val="28"/>
        <w:keepNext w:val="0"/>
        <w:keepLines w:val="0"/>
        <w:pageBreakBefore w:val="0"/>
        <w:widowControl/>
        <w:numPr>
          <w:ilvl w:val="0"/>
          <w:numId w:val="17"/>
        </w:numPr>
        <w:tabs>
          <w:tab w:val="left" w:pos="0"/>
          <w:tab w:val="left" w:pos="525"/>
          <w:tab w:val="left" w:pos="900"/>
          <w:tab w:val="left" w:pos="1080"/>
          <w:tab w:val="clear" w:pos="945"/>
        </w:tabs>
        <w:kinsoku/>
        <w:wordWrap/>
        <w:overflowPunct/>
        <w:topLinePunct w:val="0"/>
        <w:autoSpaceDE/>
        <w:autoSpaceDN/>
        <w:bidi w:val="0"/>
        <w:adjustRightInd/>
        <w:snapToGrid/>
        <w:spacing w:before="0" w:beforeLines="0" w:after="0" w:afterLines="0" w:line="240" w:lineRule="auto"/>
        <w:ind w:left="0" w:leftChars="0" w:firstLine="600" w:firstLineChars="200"/>
        <w:jc w:val="both"/>
        <w:textAlignment w:val="auto"/>
        <w:rPr>
          <w:rFonts w:hint="eastAsia" w:ascii="仿宋" w:hAnsi="仿宋" w:eastAsia="仿宋" w:cs="仿宋"/>
          <w:kern w:val="2"/>
          <w:sz w:val="30"/>
          <w:szCs w:val="30"/>
          <w:lang w:val="en-US"/>
        </w:rPr>
      </w:pPr>
      <w:r>
        <w:rPr>
          <w:rFonts w:hint="eastAsia" w:ascii="仿宋" w:hAnsi="仿宋" w:eastAsia="仿宋" w:cs="仿宋"/>
          <w:kern w:val="2"/>
          <w:sz w:val="30"/>
          <w:szCs w:val="30"/>
          <w:lang w:val="en-US"/>
        </w:rPr>
        <w:t>电气图纸:这类图纸须显示各电气配件布置和安装方法。此外，图纸须显示电力/控制电线的布线资料。</w:t>
      </w:r>
    </w:p>
    <w:p>
      <w:pPr>
        <w:pStyle w:val="28"/>
        <w:keepNext w:val="0"/>
        <w:keepLines w:val="0"/>
        <w:pageBreakBefore w:val="0"/>
        <w:widowControl/>
        <w:numPr>
          <w:ilvl w:val="0"/>
          <w:numId w:val="17"/>
        </w:numPr>
        <w:tabs>
          <w:tab w:val="left" w:pos="0"/>
          <w:tab w:val="left" w:pos="525"/>
          <w:tab w:val="left" w:pos="900"/>
          <w:tab w:val="left" w:pos="1080"/>
          <w:tab w:val="clear" w:pos="945"/>
        </w:tabs>
        <w:kinsoku/>
        <w:wordWrap/>
        <w:overflowPunct/>
        <w:topLinePunct w:val="0"/>
        <w:autoSpaceDE/>
        <w:autoSpaceDN/>
        <w:bidi w:val="0"/>
        <w:adjustRightInd/>
        <w:snapToGrid/>
        <w:spacing w:before="0" w:beforeLines="0" w:after="0" w:afterLines="0" w:line="240" w:lineRule="auto"/>
        <w:ind w:left="0" w:leftChars="0" w:firstLine="600" w:firstLineChars="200"/>
        <w:jc w:val="both"/>
        <w:textAlignment w:val="auto"/>
        <w:rPr>
          <w:rFonts w:hint="eastAsia" w:ascii="仿宋" w:hAnsi="仿宋" w:eastAsia="仿宋" w:cs="仿宋"/>
          <w:kern w:val="2"/>
          <w:sz w:val="30"/>
          <w:szCs w:val="30"/>
          <w:lang w:val="en-US"/>
        </w:rPr>
      </w:pPr>
      <w:r>
        <w:rPr>
          <w:rFonts w:hint="eastAsia" w:ascii="仿宋" w:hAnsi="仿宋" w:eastAsia="仿宋" w:cs="仿宋"/>
          <w:kern w:val="2"/>
          <w:sz w:val="30"/>
          <w:szCs w:val="30"/>
          <w:lang w:val="en-US"/>
        </w:rPr>
        <w:t>详细的安装/接口图，包括固定板和固定凹（锚凹）排列。如果适用，还要清楚标示哪些由卖方提供、哪些由土建承包商或其它第三方承包商提供。最后还要提交所有应用材料表，作最后审核和记录。</w:t>
      </w:r>
    </w:p>
    <w:p>
      <w:pPr>
        <w:pStyle w:val="28"/>
        <w:keepNext w:val="0"/>
        <w:keepLines w:val="0"/>
        <w:pageBreakBefore w:val="0"/>
        <w:widowControl/>
        <w:numPr>
          <w:ilvl w:val="0"/>
          <w:numId w:val="17"/>
        </w:numPr>
        <w:tabs>
          <w:tab w:val="left" w:pos="0"/>
          <w:tab w:val="left" w:pos="525"/>
          <w:tab w:val="left" w:pos="900"/>
          <w:tab w:val="left" w:pos="1080"/>
          <w:tab w:val="clear" w:pos="945"/>
        </w:tabs>
        <w:kinsoku/>
        <w:wordWrap/>
        <w:overflowPunct/>
        <w:topLinePunct w:val="0"/>
        <w:autoSpaceDE/>
        <w:autoSpaceDN/>
        <w:bidi w:val="0"/>
        <w:adjustRightInd/>
        <w:snapToGrid/>
        <w:spacing w:before="0" w:beforeLines="0" w:after="0" w:afterLines="0" w:line="240" w:lineRule="auto"/>
        <w:ind w:left="0" w:leftChars="0" w:firstLine="600" w:firstLineChars="200"/>
        <w:jc w:val="both"/>
        <w:textAlignment w:val="auto"/>
        <w:rPr>
          <w:rFonts w:hint="eastAsia" w:ascii="仿宋" w:hAnsi="仿宋" w:eastAsia="仿宋" w:cs="仿宋"/>
          <w:kern w:val="2"/>
          <w:sz w:val="30"/>
          <w:szCs w:val="30"/>
          <w:lang w:val="en-US"/>
        </w:rPr>
      </w:pPr>
      <w:r>
        <w:rPr>
          <w:rFonts w:hint="eastAsia" w:ascii="仿宋" w:hAnsi="仿宋" w:eastAsia="仿宋" w:cs="仿宋"/>
          <w:kern w:val="2"/>
          <w:sz w:val="30"/>
          <w:szCs w:val="30"/>
          <w:lang w:val="en-US"/>
        </w:rPr>
        <w:t>图表，资料应包括所有吊装广告灯箱的支撑架的长度。</w:t>
      </w:r>
    </w:p>
    <w:p>
      <w:pPr>
        <w:pStyle w:val="28"/>
        <w:keepNext w:val="0"/>
        <w:keepLines w:val="0"/>
        <w:pageBreakBefore w:val="0"/>
        <w:widowControl/>
        <w:numPr>
          <w:ilvl w:val="0"/>
          <w:numId w:val="17"/>
        </w:numPr>
        <w:tabs>
          <w:tab w:val="left" w:pos="0"/>
          <w:tab w:val="left" w:pos="525"/>
          <w:tab w:val="left" w:pos="900"/>
          <w:tab w:val="left" w:pos="1080"/>
          <w:tab w:val="clear" w:pos="945"/>
        </w:tabs>
        <w:kinsoku/>
        <w:wordWrap/>
        <w:overflowPunct/>
        <w:topLinePunct w:val="0"/>
        <w:autoSpaceDE/>
        <w:autoSpaceDN/>
        <w:bidi w:val="0"/>
        <w:adjustRightInd/>
        <w:snapToGrid/>
        <w:spacing w:before="0" w:beforeLines="0" w:after="0" w:afterLines="0" w:line="240" w:lineRule="auto"/>
        <w:ind w:left="0" w:leftChars="0" w:firstLine="600" w:firstLineChars="200"/>
        <w:jc w:val="both"/>
        <w:textAlignment w:val="auto"/>
        <w:rPr>
          <w:rFonts w:hint="eastAsia" w:ascii="仿宋" w:hAnsi="仿宋" w:eastAsia="仿宋" w:cs="仿宋"/>
          <w:kern w:val="2"/>
          <w:sz w:val="30"/>
          <w:szCs w:val="30"/>
          <w:lang w:val="en-US"/>
        </w:rPr>
      </w:pPr>
      <w:r>
        <w:rPr>
          <w:rFonts w:hint="eastAsia" w:ascii="仿宋" w:hAnsi="仿宋" w:eastAsia="仿宋" w:cs="仿宋"/>
          <w:kern w:val="2"/>
          <w:sz w:val="30"/>
          <w:szCs w:val="30"/>
          <w:lang w:val="en-US"/>
        </w:rPr>
        <w:t>检修参考图,数据应包括图像表示检修的步骤,组件的装拆程序,检修次数,每一类广告灯箱的灯具及主要电器组件的品牌及型号,检修时需留意的职业健康及安全守则。</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8</w:t>
      </w:r>
      <w:r>
        <w:rPr>
          <w:rFonts w:hint="eastAsia" w:ascii="仿宋" w:hAnsi="仿宋" w:eastAsia="仿宋" w:cs="仿宋"/>
          <w:sz w:val="30"/>
          <w:szCs w:val="30"/>
        </w:rPr>
        <w:t>.</w:t>
      </w:r>
      <w:r>
        <w:rPr>
          <w:rFonts w:hint="eastAsia" w:ascii="仿宋" w:hAnsi="仿宋" w:eastAsia="仿宋" w:cs="仿宋"/>
          <w:sz w:val="30"/>
          <w:szCs w:val="30"/>
          <w:lang w:val="en-US" w:eastAsia="zh-CN"/>
        </w:rPr>
        <w:t>4</w:t>
      </w:r>
      <w:r>
        <w:rPr>
          <w:rFonts w:hint="eastAsia" w:ascii="仿宋" w:hAnsi="仿宋" w:eastAsia="仿宋" w:cs="仿宋"/>
          <w:sz w:val="30"/>
          <w:szCs w:val="30"/>
        </w:rPr>
        <w:t>.2 调试</w:t>
      </w:r>
    </w:p>
    <w:p>
      <w:pPr>
        <w:keepNext w:val="0"/>
        <w:keepLines w:val="0"/>
        <w:pageBreakBefore w:val="0"/>
        <w:kinsoku/>
        <w:wordWrap/>
        <w:overflowPunct/>
        <w:topLinePunct w:val="0"/>
        <w:autoSpaceDE/>
        <w:autoSpaceDN/>
        <w:bidi w:val="0"/>
        <w:adjustRightInd/>
        <w:snapToGrid/>
        <w:spacing w:line="240" w:lineRule="auto"/>
        <w:ind w:left="0" w:leftChars="0"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灯箱施工安装完毕后，卖方应按照</w:t>
      </w:r>
      <w:r>
        <w:rPr>
          <w:rFonts w:hint="eastAsia" w:ascii="仿宋" w:hAnsi="仿宋" w:eastAsia="仿宋" w:cs="仿宋"/>
          <w:sz w:val="30"/>
          <w:szCs w:val="30"/>
          <w:lang w:eastAsia="zh-CN"/>
        </w:rPr>
        <w:t>渝武机场</w:t>
      </w:r>
      <w:r>
        <w:rPr>
          <w:rFonts w:hint="eastAsia" w:ascii="仿宋" w:hAnsi="仿宋" w:eastAsia="仿宋" w:cs="仿宋"/>
          <w:sz w:val="30"/>
          <w:szCs w:val="30"/>
        </w:rPr>
        <w:t>工程系统调试计划，参与并负责灯箱设备的调试工作，保证灯箱设备运行稳定可靠。</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9</w:t>
      </w:r>
      <w:bookmarkStart w:id="9" w:name="_Toc87411971"/>
      <w:bookmarkStart w:id="10" w:name="_Toc92608443"/>
      <w:bookmarkStart w:id="11" w:name="_Toc92608463"/>
      <w:bookmarkStart w:id="12" w:name="_Toc92608385"/>
      <w:r>
        <w:rPr>
          <w:rFonts w:hint="eastAsia" w:ascii="仿宋" w:hAnsi="仿宋" w:eastAsia="仿宋" w:cs="仿宋"/>
          <w:b/>
          <w:bCs/>
          <w:kern w:val="2"/>
          <w:sz w:val="30"/>
          <w:szCs w:val="30"/>
          <w:lang w:val="en-US" w:eastAsia="zh-CN" w:bidi="ar-SA"/>
        </w:rPr>
        <w:t>.质保系统</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.1</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质量保证</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.1.1</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灯箱卖方应有完善的质保体系，合同设备制造安装如下全过程（包括原材料选用和外购件选用）均应纳入质保体系。</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设计（包括设计联络和设计配合）</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制造</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运输</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安装、督导和检验</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验收测试</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调试运行</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质保期服务</w:t>
      </w:r>
    </w:p>
    <w:p>
      <w:pPr>
        <w:numPr>
          <w:ilvl w:val="0"/>
          <w:numId w:val="18"/>
        </w:numPr>
        <w:tabs>
          <w:tab w:val="left" w:pos="1260"/>
          <w:tab w:val="left" w:pos="1440"/>
        </w:tabs>
        <w:bidi w:val="0"/>
        <w:ind w:firstLine="480"/>
        <w:rPr>
          <w:rFonts w:hint="eastAsia" w:ascii="仿宋" w:hAnsi="仿宋" w:eastAsia="仿宋" w:cs="仿宋"/>
          <w:sz w:val="30"/>
          <w:szCs w:val="30"/>
        </w:rPr>
      </w:pPr>
      <w:r>
        <w:rPr>
          <w:rFonts w:hint="eastAsia" w:ascii="仿宋" w:hAnsi="仿宋" w:eastAsia="仿宋" w:cs="仿宋"/>
          <w:sz w:val="30"/>
          <w:szCs w:val="30"/>
        </w:rPr>
        <w:t>售后服务</w:t>
      </w:r>
    </w:p>
    <w:bookmarkEnd w:id="6"/>
    <w:bookmarkEnd w:id="7"/>
    <w:bookmarkEnd w:id="8"/>
    <w:bookmarkEnd w:id="9"/>
    <w:bookmarkEnd w:id="10"/>
    <w:bookmarkEnd w:id="11"/>
    <w:bookmarkEnd w:id="12"/>
    <w:p>
      <w:pPr>
        <w:bidi w:val="0"/>
        <w:jc w:val="both"/>
        <w:outlineLvl w:val="0"/>
        <w:rPr>
          <w:rFonts w:hint="eastAsia" w:hAnsi="宋体" w:eastAsia="宋体"/>
          <w:b/>
          <w:sz w:val="32"/>
          <w:lang w:eastAsia="zh-CN"/>
        </w:rPr>
      </w:pPr>
      <w:r>
        <w:rPr>
          <w:rFonts w:hint="eastAsia" w:hAnsi="宋体"/>
          <w:b/>
          <w:sz w:val="32"/>
          <w:lang w:val="en-US" w:eastAsia="zh-CN"/>
        </w:rPr>
        <w:t>（四）一楼</w:t>
      </w:r>
      <w:r>
        <w:rPr>
          <w:rFonts w:hint="eastAsia" w:hAnsi="宋体"/>
          <w:b/>
          <w:sz w:val="32"/>
          <w:lang w:eastAsia="zh-CN"/>
        </w:rPr>
        <w:t>灯箱</w:t>
      </w:r>
      <w:r>
        <w:rPr>
          <w:rFonts w:hint="eastAsia" w:hAnsi="宋体"/>
          <w:b/>
          <w:sz w:val="32"/>
        </w:rPr>
        <w:t>广告</w:t>
      </w:r>
      <w:r>
        <w:rPr>
          <w:rFonts w:hAnsi="宋体"/>
          <w:b/>
          <w:sz w:val="32"/>
        </w:rPr>
        <w:t>技术要求</w:t>
      </w:r>
      <w:r>
        <w:rPr>
          <w:rFonts w:hint="eastAsia" w:hAnsi="宋体"/>
          <w:b/>
          <w:sz w:val="32"/>
          <w:lang w:eastAsia="zh-CN"/>
        </w:rPr>
        <w:t>（卡布灯箱，嵌墙，无支架）</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1、户内灯箱尺寸无限制、根据项目要求画面无拼接</w:t>
      </w:r>
      <w:r>
        <w:rPr>
          <w:rFonts w:hint="eastAsia" w:ascii="仿宋" w:hAnsi="仿宋" w:eastAsia="仿宋" w:cs="仿宋"/>
          <w:sz w:val="30"/>
          <w:szCs w:val="30"/>
          <w:lang w:eastAsia="zh-CN"/>
        </w:rPr>
        <w:t>，软膜</w:t>
      </w:r>
      <w:r>
        <w:rPr>
          <w:rFonts w:hint="eastAsia" w:ascii="仿宋" w:hAnsi="仿宋" w:eastAsia="仿宋" w:cs="仿宋"/>
          <w:sz w:val="30"/>
          <w:szCs w:val="30"/>
          <w:lang w:val="en-US" w:eastAsia="zh-CN"/>
        </w:rPr>
        <w:t>UV打印</w:t>
      </w:r>
      <w:r>
        <w:rPr>
          <w:rFonts w:hint="eastAsia" w:ascii="仿宋" w:hAnsi="仿宋" w:eastAsia="仿宋" w:cs="仿宋"/>
          <w:sz w:val="30"/>
          <w:szCs w:val="30"/>
        </w:rPr>
        <w:t>。</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eastAsia="zh-CN"/>
        </w:rPr>
        <w:t>每</w:t>
      </w:r>
      <w:r>
        <w:rPr>
          <w:rFonts w:hint="eastAsia" w:ascii="仿宋" w:hAnsi="仿宋" w:eastAsia="仿宋" w:cs="仿宋"/>
          <w:sz w:val="30"/>
          <w:szCs w:val="30"/>
        </w:rPr>
        <w:t xml:space="preserve">平方耗电≤ </w:t>
      </w:r>
      <w:r>
        <w:rPr>
          <w:rFonts w:hint="eastAsia" w:ascii="仿宋" w:hAnsi="仿宋" w:eastAsia="仿宋" w:cs="仿宋"/>
          <w:sz w:val="30"/>
          <w:szCs w:val="30"/>
          <w:lang w:val="en-US" w:eastAsia="zh-CN"/>
        </w:rPr>
        <w:t>6</w:t>
      </w:r>
      <w:r>
        <w:rPr>
          <w:rFonts w:hint="eastAsia" w:ascii="仿宋" w:hAnsi="仿宋" w:eastAsia="仿宋" w:cs="仿宋"/>
          <w:sz w:val="30"/>
          <w:szCs w:val="30"/>
        </w:rPr>
        <w:t>0W。;</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3、光源寿命</w:t>
      </w:r>
      <w:r>
        <w:rPr>
          <w:rFonts w:hint="eastAsia" w:ascii="仿宋" w:hAnsi="仿宋" w:eastAsia="仿宋" w:cs="仿宋"/>
          <w:kern w:val="32"/>
          <w:sz w:val="30"/>
          <w:szCs w:val="30"/>
        </w:rPr>
        <w:t>&gt;</w:t>
      </w:r>
      <w:r>
        <w:rPr>
          <w:rFonts w:hint="eastAsia" w:ascii="仿宋" w:hAnsi="仿宋" w:eastAsia="仿宋" w:cs="仿宋"/>
          <w:sz w:val="30"/>
          <w:szCs w:val="30"/>
        </w:rPr>
        <w:t>50000h</w:t>
      </w:r>
      <w:r>
        <w:rPr>
          <w:rFonts w:hint="eastAsia" w:ascii="仿宋" w:hAnsi="仿宋" w:eastAsia="仿宋" w:cs="仿宋"/>
          <w:sz w:val="30"/>
          <w:szCs w:val="30"/>
          <w:lang w:val="en-US" w:eastAsia="zh-CN"/>
        </w:rPr>
        <w:t>LED</w:t>
      </w:r>
      <w:r>
        <w:rPr>
          <w:rFonts w:hint="eastAsia" w:ascii="仿宋" w:hAnsi="仿宋" w:eastAsia="仿宋" w:cs="仿宋"/>
          <w:sz w:val="30"/>
          <w:szCs w:val="30"/>
        </w:rPr>
        <w:t>灯</w:t>
      </w:r>
      <w:r>
        <w:rPr>
          <w:rFonts w:hint="eastAsia" w:ascii="仿宋" w:hAnsi="仿宋" w:eastAsia="仿宋" w:cs="仿宋"/>
          <w:sz w:val="30"/>
          <w:szCs w:val="30"/>
          <w:lang w:eastAsia="zh-CN"/>
        </w:rPr>
        <w:t>条</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sz w:val="30"/>
          <w:szCs w:val="30"/>
        </w:rPr>
        <w:t>4、</w:t>
      </w:r>
      <w:r>
        <w:rPr>
          <w:rFonts w:hint="eastAsia" w:ascii="仿宋" w:hAnsi="仿宋" w:eastAsia="仿宋" w:cs="仿宋"/>
          <w:color w:val="auto"/>
          <w:sz w:val="30"/>
          <w:szCs w:val="30"/>
        </w:rPr>
        <w:t>采用国际知名品牌的芯片，推荐采用品质不低于Cree（科锐）、Lumileds（流明）、Nichia（日亚）、Osram（欧司朗）原装进口产品。LED光源模块化设计，便于维修更换。要求注明投标产品的芯片厂家和封装厂家。</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LED应采用表面贴装技术（SMT）等先进封装技术。封装材料应具有高穿透率、高导热率、耐高温、耐日光辐射和抗潮湿，不得采用环氧树脂作为封装材料或透镜材料。LED应无铅、符合RoHS标准。</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所有LED照明装置采用同一品牌的LED光源。</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系统电压220V±10%下可长期可靠稳定运行。</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5、</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1477"/>
        <w:gridCol w:w="6903"/>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79" w:hRule="atLeast"/>
          <w:jc w:val="center"/>
        </w:trPr>
        <w:tc>
          <w:tcPr>
            <w:tcW w:w="1477" w:type="dxa"/>
            <w:tcBorders>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色温</w:t>
            </w:r>
          </w:p>
        </w:tc>
        <w:tc>
          <w:tcPr>
            <w:tcW w:w="6903" w:type="dxa"/>
            <w:tcBorders>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lang w:val="en-US" w:eastAsia="zh-CN"/>
              </w:rPr>
              <w:t>6000—</w:t>
            </w:r>
            <w:r>
              <w:rPr>
                <w:rFonts w:hint="eastAsia" w:ascii="仿宋" w:hAnsi="仿宋" w:eastAsia="仿宋" w:cs="仿宋"/>
                <w:kern w:val="32"/>
                <w:sz w:val="24"/>
                <w:szCs w:val="24"/>
              </w:rPr>
              <w:t>7000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38"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显色指数</w:t>
            </w:r>
          </w:p>
        </w:tc>
        <w:tc>
          <w:tcPr>
            <w:tcW w:w="69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≥80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79"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光效</w:t>
            </w:r>
          </w:p>
        </w:tc>
        <w:tc>
          <w:tcPr>
            <w:tcW w:w="69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≥80lm/w</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552"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寿命</w:t>
            </w:r>
          </w:p>
        </w:tc>
        <w:tc>
          <w:tcPr>
            <w:tcW w:w="69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寿命≥50000小时（供货商提供光通量及光效（光通量降低至额定的70%视为该光源寿命终结）相应的检测报告及可靠依据资料（含计算资料）</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361"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kern w:val="32"/>
                <w:sz w:val="24"/>
                <w:szCs w:val="24"/>
              </w:rPr>
              <w:t>初始光通量</w:t>
            </w:r>
          </w:p>
        </w:tc>
        <w:tc>
          <w:tcPr>
            <w:tcW w:w="69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&gt;1600lm</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cantSplit/>
          <w:trHeight w:val="587"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光通维持率</w:t>
            </w:r>
          </w:p>
        </w:tc>
        <w:tc>
          <w:tcPr>
            <w:tcW w:w="69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燃点3000h，光通维持率不低于96%；燃点6000h，光通维持率不低于92%，10000h光通维持率不低于86%</w:t>
            </w:r>
          </w:p>
        </w:tc>
      </w:tr>
    </w:tbl>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最大热沉温度不应大于65℃。</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LED灯在标称的额定电源电压及额定频率下工作时，其实际消耗的功率与额定功率之差不应大于10%，功率因数不应小于0.92；总谐波失真THD≤9%。</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另有以下要求：</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（1）、Led光源基本技术参数</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a.额定电压：AC220V±10％</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b.频率：50Hz±5％</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c.灯具在系统电压220V±10%下可长期可靠稳定运行。</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d.光源类型：0.11-0.15W的小功率LED芯片</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e.驱动模式：恒压驱动</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f.LED最大工作电流（mA）：直流350</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g.LED显色指数(Ra)：≥75</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h.LED灯在标称的额定电源电压及额定频率下工作时，其实际消耗的功率与额定功率之差不应大于10%，功率因数不应小于0.98。</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（2）、恒压电源</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LED灯具均配置高效节能型恒压电源。</w:t>
      </w:r>
    </w:p>
    <w:tbl>
      <w:tblPr>
        <w:tblStyle w:val="18"/>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508"/>
        <w:gridCol w:w="7230"/>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功率因数</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≥0.95</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电源效率</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kern w:val="32"/>
                <w:sz w:val="24"/>
                <w:szCs w:val="24"/>
              </w:rPr>
              <w:t>&gt;87%</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寿命</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kern w:val="32"/>
                <w:sz w:val="24"/>
                <w:szCs w:val="24"/>
              </w:rPr>
              <w:t>&gt;</w:t>
            </w:r>
            <w:r>
              <w:rPr>
                <w:rFonts w:hint="eastAsia" w:ascii="仿宋" w:hAnsi="仿宋" w:eastAsia="仿宋" w:cs="仿宋"/>
                <w:sz w:val="24"/>
                <w:szCs w:val="24"/>
              </w:rPr>
              <w:t>50000h</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电磁干扰</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严格控制电磁干扰，符合电磁兼容标准EN55015/GB17743的相关要求</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谐波含量</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高于GB17625.1标准的要求，总谐波含量&lt;10%，三次谐波小于5%，无频闪</w:t>
            </w:r>
            <w:r>
              <w:rPr>
                <w:rFonts w:hint="eastAsia" w:ascii="仿宋" w:hAnsi="仿宋" w:eastAsia="仿宋" w:cs="仿宋"/>
                <w:sz w:val="24"/>
                <w:szCs w:val="24"/>
              </w:rPr>
              <w:t>、噪音</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32"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防护等级</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电源变换器外壳及接插件（若有）防护等级不低于IP65</w:t>
            </w:r>
            <w:r>
              <w:rPr>
                <w:rFonts w:hint="eastAsia" w:ascii="仿宋" w:hAnsi="仿宋" w:eastAsia="仿宋" w:cs="仿宋"/>
                <w:kern w:val="32"/>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1779" w:hRule="atLeast"/>
        </w:trPr>
        <w:tc>
          <w:tcPr>
            <w:tcW w:w="1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其它要求</w:t>
            </w:r>
          </w:p>
        </w:tc>
        <w:tc>
          <w:tcPr>
            <w:tcW w:w="7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启动电流不大于工作电流的两倍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预热时间：小于3秒，保护灯管寿命，适宜频繁启动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输入电压范围：在170V～250V范围内，保证恒定功率光输出，低功耗，具有较高的功率转换效率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kern w:val="32"/>
                <w:sz w:val="24"/>
                <w:szCs w:val="24"/>
              </w:rPr>
              <w:t>工作环境温度范围：-20～+40℃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kern w:val="32"/>
                <w:sz w:val="24"/>
                <w:szCs w:val="24"/>
              </w:rPr>
              <w:t>具备灯管寿终或异常状态自动关断功能，换灯后自动重启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kern w:val="32"/>
                <w:sz w:val="24"/>
                <w:szCs w:val="24"/>
              </w:rPr>
            </w:pPr>
            <w:r>
              <w:rPr>
                <w:rFonts w:hint="eastAsia" w:ascii="仿宋" w:hAnsi="仿宋" w:eastAsia="仿宋" w:cs="仿宋"/>
                <w:sz w:val="24"/>
                <w:szCs w:val="24"/>
              </w:rPr>
              <w:t>具有CQC产品认证</w:t>
            </w:r>
          </w:p>
        </w:tc>
      </w:tr>
    </w:tbl>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控制装置和配线喷以非硬化漆，以防止潮气侵入。</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内部连接电线采用耐火电线，必须穿纤维保护套管，耐温不低于200℃，并予以牢固固定，以避免松开后和镇流器接触。</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布线通过任何金属部件的边缘时，必须穿纤维保护套管，所有布线均暗装于电器箱内部。</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提供完善的保护，如输入电压不足、过电压保护、输出开路与短路保护等。</w:t>
      </w:r>
    </w:p>
    <w:p>
      <w:pPr>
        <w:pStyle w:val="26"/>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小尺寸封装，散热良好，经久耐用，无内置风扇。</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6、采用</w:t>
      </w:r>
      <w:r>
        <w:rPr>
          <w:rFonts w:hint="eastAsia" w:ascii="仿宋" w:hAnsi="仿宋" w:eastAsia="仿宋" w:cs="仿宋"/>
          <w:sz w:val="30"/>
          <w:szCs w:val="30"/>
          <w:lang w:eastAsia="zh-CN"/>
        </w:rPr>
        <w:t>边宽</w:t>
      </w:r>
      <w:r>
        <w:rPr>
          <w:rFonts w:hint="eastAsia" w:ascii="仿宋" w:hAnsi="仿宋" w:eastAsia="仿宋" w:cs="仿宋"/>
          <w:sz w:val="30"/>
          <w:szCs w:val="30"/>
          <w:lang w:val="en-US" w:eastAsia="zh-CN"/>
        </w:rPr>
        <w:t>12cm高</w:t>
      </w:r>
      <w:r>
        <w:rPr>
          <w:rFonts w:hint="eastAsia" w:ascii="仿宋" w:hAnsi="仿宋" w:eastAsia="仿宋" w:cs="仿宋"/>
          <w:sz w:val="30"/>
          <w:szCs w:val="30"/>
        </w:rPr>
        <w:t>优质铝合金</w:t>
      </w:r>
      <w:r>
        <w:rPr>
          <w:rFonts w:hint="eastAsia" w:ascii="仿宋" w:hAnsi="仿宋" w:eastAsia="仿宋" w:cs="仿宋"/>
          <w:sz w:val="30"/>
          <w:szCs w:val="30"/>
          <w:lang w:eastAsia="zh-CN"/>
        </w:rPr>
        <w:t>边框</w:t>
      </w:r>
      <w:r>
        <w:rPr>
          <w:rFonts w:hint="eastAsia" w:ascii="仿宋" w:hAnsi="仿宋" w:eastAsia="仿宋" w:cs="仿宋"/>
          <w:sz w:val="30"/>
          <w:szCs w:val="30"/>
        </w:rPr>
        <w:t>设计。</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7、采用独特的四边</w:t>
      </w:r>
      <w:r>
        <w:rPr>
          <w:rFonts w:hint="eastAsia" w:ascii="仿宋" w:hAnsi="仿宋" w:eastAsia="仿宋" w:cs="仿宋"/>
          <w:sz w:val="30"/>
          <w:szCs w:val="30"/>
          <w:lang w:eastAsia="zh-CN"/>
        </w:rPr>
        <w:t>正面开槽</w:t>
      </w:r>
      <w:r>
        <w:rPr>
          <w:rFonts w:hint="eastAsia" w:ascii="仿宋" w:hAnsi="仿宋" w:eastAsia="仿宋" w:cs="仿宋"/>
          <w:sz w:val="30"/>
          <w:szCs w:val="30"/>
        </w:rPr>
        <w:t>设计, 方便更换画面</w:t>
      </w:r>
      <w:r>
        <w:rPr>
          <w:rFonts w:hint="eastAsia" w:ascii="仿宋" w:hAnsi="仿宋" w:eastAsia="仿宋" w:cs="仿宋"/>
          <w:sz w:val="30"/>
          <w:szCs w:val="30"/>
          <w:lang w:eastAsia="zh-CN"/>
        </w:rPr>
        <w:t>，且无边框显现</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8、灯箱固定灯</w:t>
      </w:r>
      <w:r>
        <w:rPr>
          <w:rFonts w:hint="eastAsia" w:ascii="仿宋" w:hAnsi="仿宋" w:eastAsia="仿宋" w:cs="仿宋"/>
          <w:sz w:val="30"/>
          <w:szCs w:val="30"/>
          <w:lang w:eastAsia="zh-CN"/>
        </w:rPr>
        <w:t>条</w:t>
      </w:r>
      <w:r>
        <w:rPr>
          <w:rFonts w:hint="eastAsia" w:ascii="仿宋" w:hAnsi="仿宋" w:eastAsia="仿宋" w:cs="仿宋"/>
          <w:sz w:val="30"/>
          <w:szCs w:val="30"/>
        </w:rPr>
        <w:t>为</w:t>
      </w:r>
      <w:r>
        <w:rPr>
          <w:rFonts w:hint="eastAsia" w:ascii="仿宋" w:hAnsi="仿宋" w:eastAsia="仿宋" w:cs="仿宋"/>
          <w:sz w:val="30"/>
          <w:szCs w:val="30"/>
          <w:lang w:eastAsia="zh-CN"/>
        </w:rPr>
        <w:t>白色烤漆板</w:t>
      </w:r>
      <w:r>
        <w:rPr>
          <w:rFonts w:hint="eastAsia" w:ascii="仿宋" w:hAnsi="仿宋" w:eastAsia="仿宋" w:cs="仿宋"/>
          <w:sz w:val="30"/>
          <w:szCs w:val="30"/>
        </w:rPr>
        <w:t>,灯管排布整齐，美观，电路结构简单安全。</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9、亮度</w:t>
      </w:r>
      <w:r>
        <w:rPr>
          <w:rFonts w:hint="eastAsia" w:ascii="仿宋" w:hAnsi="仿宋" w:eastAsia="仿宋" w:cs="仿宋"/>
          <w:sz w:val="30"/>
          <w:szCs w:val="30"/>
          <w:lang w:eastAsia="zh-CN"/>
        </w:rPr>
        <w:t>不低于</w:t>
      </w:r>
      <w:r>
        <w:rPr>
          <w:rFonts w:hint="eastAsia" w:ascii="仿宋" w:hAnsi="仿宋" w:eastAsia="仿宋" w:cs="仿宋"/>
          <w:sz w:val="30"/>
          <w:szCs w:val="30"/>
          <w:lang w:val="en-US" w:eastAsia="zh-CN"/>
        </w:rPr>
        <w:t>3000</w:t>
      </w:r>
      <w:r>
        <w:rPr>
          <w:rFonts w:hint="eastAsia" w:ascii="仿宋" w:hAnsi="仿宋" w:eastAsia="仿宋" w:cs="仿宋"/>
          <w:sz w:val="30"/>
          <w:szCs w:val="30"/>
        </w:rPr>
        <w:t>LUX</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10、亮度均匀,无暗区,无排骨纹</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11、耗能60W/平方左右</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12、5 米</w:t>
      </w:r>
      <w:r>
        <w:rPr>
          <w:rFonts w:hint="eastAsia" w:ascii="仿宋" w:hAnsi="仿宋" w:eastAsia="仿宋" w:cs="仿宋"/>
          <w:sz w:val="30"/>
          <w:szCs w:val="30"/>
          <w:lang w:eastAsia="zh-CN"/>
        </w:rPr>
        <w:t>宽幅软膜</w:t>
      </w:r>
      <w:r>
        <w:rPr>
          <w:rFonts w:hint="eastAsia" w:ascii="仿宋" w:hAnsi="仿宋" w:eastAsia="仿宋" w:cs="仿宋"/>
          <w:sz w:val="30"/>
          <w:szCs w:val="30"/>
          <w:lang w:val="en-US" w:eastAsia="zh-CN"/>
        </w:rPr>
        <w:t>UV打印</w:t>
      </w:r>
      <w:r>
        <w:rPr>
          <w:rFonts w:hint="eastAsia" w:ascii="仿宋" w:hAnsi="仿宋" w:eastAsia="仿宋" w:cs="仿宋"/>
          <w:sz w:val="30"/>
          <w:szCs w:val="30"/>
        </w:rPr>
        <w:t>，</w:t>
      </w:r>
      <w:r>
        <w:rPr>
          <w:rFonts w:hint="eastAsia" w:ascii="仿宋" w:hAnsi="仿宋" w:eastAsia="仿宋" w:cs="仿宋"/>
          <w:sz w:val="30"/>
          <w:szCs w:val="30"/>
          <w:lang w:eastAsia="zh-CN"/>
        </w:rPr>
        <w:t>达到</w:t>
      </w:r>
      <w:r>
        <w:rPr>
          <w:rFonts w:hint="eastAsia" w:ascii="仿宋" w:hAnsi="仿宋" w:eastAsia="仿宋" w:cs="仿宋"/>
          <w:sz w:val="30"/>
          <w:szCs w:val="30"/>
        </w:rPr>
        <w:t>最佳画面色彩，无光晕。</w:t>
      </w:r>
    </w:p>
    <w:p>
      <w:pPr>
        <w:pageBreakBefore w:val="0"/>
        <w:numPr>
          <w:ilvl w:val="0"/>
          <w:numId w:val="0"/>
        </w:numPr>
        <w:kinsoku/>
        <w:wordWrap/>
        <w:overflowPunct/>
        <w:topLinePunct w:val="0"/>
        <w:autoSpaceDE/>
        <w:autoSpaceDN/>
        <w:bidi w:val="0"/>
        <w:adjustRightInd w:val="0"/>
        <w:snapToGrid w:val="0"/>
        <w:spacing w:line="360" w:lineRule="auto"/>
        <w:ind w:leftChars="0"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13、</w:t>
      </w:r>
      <w:r>
        <w:rPr>
          <w:rFonts w:hint="eastAsia" w:ascii="仿宋" w:hAnsi="仿宋" w:eastAsia="仿宋" w:cs="仿宋"/>
          <w:sz w:val="30"/>
          <w:szCs w:val="30"/>
        </w:rPr>
        <w:t>方便快捷的安装和更换画面、绿色环保。</w:t>
      </w:r>
    </w:p>
    <w:p>
      <w:pPr>
        <w:pageBreakBefore w:val="0"/>
        <w:numPr>
          <w:ilvl w:val="0"/>
          <w:numId w:val="0"/>
        </w:numPr>
        <w:kinsoku/>
        <w:wordWrap/>
        <w:overflowPunct/>
        <w:topLinePunct w:val="0"/>
        <w:autoSpaceDE/>
        <w:autoSpaceDN/>
        <w:bidi w:val="0"/>
        <w:adjustRightInd w:val="0"/>
        <w:snapToGrid w:val="0"/>
        <w:spacing w:line="360" w:lineRule="auto"/>
        <w:ind w:leftChars="0"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14、</w:t>
      </w:r>
      <w:r>
        <w:rPr>
          <w:rFonts w:hint="eastAsia" w:ascii="仿宋" w:hAnsi="仿宋" w:eastAsia="仿宋" w:cs="仿宋"/>
          <w:sz w:val="30"/>
          <w:szCs w:val="30"/>
          <w:lang w:eastAsia="zh-CN"/>
        </w:rPr>
        <w:t>开关电源</w:t>
      </w:r>
      <w:r>
        <w:rPr>
          <w:rFonts w:hint="eastAsia" w:ascii="仿宋" w:hAnsi="仿宋" w:eastAsia="仿宋" w:cs="仿宋"/>
          <w:sz w:val="30"/>
          <w:szCs w:val="30"/>
        </w:rPr>
        <w:cr/>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250W</w:t>
      </w:r>
      <w:r>
        <w:rPr>
          <w:rFonts w:hint="eastAsia" w:ascii="仿宋" w:hAnsi="仿宋" w:eastAsia="仿宋" w:cs="仿宋"/>
          <w:sz w:val="30"/>
          <w:szCs w:val="30"/>
          <w:lang w:eastAsia="zh-CN"/>
        </w:rPr>
        <w:t>开关电源可连接</w:t>
      </w:r>
      <w:r>
        <w:rPr>
          <w:rFonts w:hint="eastAsia" w:ascii="仿宋" w:hAnsi="仿宋" w:eastAsia="仿宋" w:cs="仿宋"/>
          <w:sz w:val="30"/>
          <w:szCs w:val="30"/>
          <w:lang w:val="en-US" w:eastAsia="zh-CN"/>
        </w:rPr>
        <w:t>36支LED灯条</w:t>
      </w:r>
      <w:r>
        <w:rPr>
          <w:rFonts w:hint="eastAsia" w:ascii="仿宋" w:hAnsi="仿宋" w:eastAsia="仿宋" w:cs="仿宋"/>
          <w:sz w:val="30"/>
          <w:szCs w:val="30"/>
        </w:rPr>
        <w:t>。</w:t>
      </w:r>
      <w:r>
        <w:rPr>
          <w:rFonts w:hint="eastAsia" w:ascii="仿宋" w:hAnsi="仿宋" w:eastAsia="仿宋" w:cs="仿宋"/>
          <w:sz w:val="30"/>
          <w:szCs w:val="30"/>
        </w:rPr>
        <w:cr/>
      </w:r>
      <w:r>
        <w:rPr>
          <w:rFonts w:hint="eastAsia" w:ascii="仿宋" w:hAnsi="仿宋" w:eastAsia="仿宋" w:cs="仿宋"/>
          <w:sz w:val="30"/>
          <w:szCs w:val="30"/>
        </w:rPr>
        <w:t>1</w:t>
      </w:r>
      <w:r>
        <w:rPr>
          <w:rFonts w:hint="eastAsia" w:ascii="仿宋" w:hAnsi="仿宋" w:eastAsia="仿宋" w:cs="仿宋"/>
          <w:sz w:val="30"/>
          <w:szCs w:val="30"/>
          <w:lang w:val="en-US" w:eastAsia="zh-CN"/>
        </w:rPr>
        <w:t>5</w:t>
      </w:r>
      <w:r>
        <w:rPr>
          <w:rFonts w:hint="eastAsia" w:ascii="仿宋" w:hAnsi="仿宋" w:eastAsia="仿宋" w:cs="仿宋"/>
          <w:sz w:val="30"/>
          <w:szCs w:val="30"/>
        </w:rPr>
        <w:t>、灯管间距</w:t>
      </w:r>
      <w:r>
        <w:rPr>
          <w:rFonts w:hint="eastAsia" w:ascii="仿宋" w:hAnsi="仿宋" w:eastAsia="仿宋" w:cs="仿宋"/>
          <w:sz w:val="30"/>
          <w:szCs w:val="30"/>
        </w:rPr>
        <w:cr/>
      </w:r>
      <w:r>
        <w:rPr>
          <w:rFonts w:hint="eastAsia" w:ascii="仿宋" w:hAnsi="仿宋" w:eastAsia="仿宋" w:cs="仿宋"/>
          <w:sz w:val="30"/>
          <w:szCs w:val="30"/>
        </w:rPr>
        <w:t>      标准：</w:t>
      </w:r>
      <w:r>
        <w:rPr>
          <w:rFonts w:hint="eastAsia" w:ascii="仿宋" w:hAnsi="仿宋" w:eastAsia="仿宋" w:cs="仿宋"/>
          <w:sz w:val="30"/>
          <w:szCs w:val="30"/>
          <w:lang w:val="en-US" w:eastAsia="zh-CN"/>
        </w:rPr>
        <w:t>8</w:t>
      </w:r>
      <w:r>
        <w:rPr>
          <w:rFonts w:hint="eastAsia" w:ascii="仿宋" w:hAnsi="仿宋" w:eastAsia="仿宋" w:cs="仿宋"/>
          <w:sz w:val="30"/>
          <w:szCs w:val="30"/>
        </w:rPr>
        <w:t>CM/12CM灯箱,灯管排列间距≤</w:t>
      </w:r>
      <w:r>
        <w:rPr>
          <w:rFonts w:hint="eastAsia" w:ascii="仿宋" w:hAnsi="仿宋" w:eastAsia="仿宋" w:cs="仿宋"/>
          <w:sz w:val="30"/>
          <w:szCs w:val="30"/>
          <w:lang w:val="en-US" w:eastAsia="zh-CN"/>
        </w:rPr>
        <w:t>2</w:t>
      </w:r>
      <w:r>
        <w:rPr>
          <w:rFonts w:hint="eastAsia" w:ascii="仿宋" w:hAnsi="仿宋" w:eastAsia="仿宋" w:cs="仿宋"/>
          <w:sz w:val="30"/>
          <w:szCs w:val="30"/>
        </w:rPr>
        <w:t>0CM。</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16</w:t>
      </w:r>
      <w:r>
        <w:rPr>
          <w:rFonts w:hint="eastAsia" w:ascii="仿宋" w:hAnsi="仿宋" w:eastAsia="仿宋" w:cs="仿宋"/>
          <w:sz w:val="30"/>
          <w:szCs w:val="30"/>
          <w:lang w:eastAsia="zh-CN"/>
        </w:rPr>
        <w:t>、</w:t>
      </w:r>
      <w:r>
        <w:rPr>
          <w:rFonts w:hint="eastAsia" w:ascii="仿宋" w:hAnsi="仿宋" w:eastAsia="仿宋" w:cs="仿宋"/>
          <w:sz w:val="30"/>
          <w:szCs w:val="30"/>
        </w:rPr>
        <w:t>灯箱材料、部件列表</w:t>
      </w:r>
    </w:p>
    <w:p>
      <w:pPr>
        <w:pStyle w:val="6"/>
        <w:pageBreakBefore w:val="0"/>
        <w:tabs>
          <w:tab w:val="left" w:pos="1307"/>
        </w:tabs>
        <w:kinsoku/>
        <w:wordWrap/>
        <w:overflowPunct/>
        <w:topLinePunct w:val="0"/>
        <w:autoSpaceDE/>
        <w:autoSpaceDN/>
        <w:bidi w:val="0"/>
        <w:adjustRightInd w:val="0"/>
        <w:snapToGrid w:val="0"/>
        <w:spacing w:line="360" w:lineRule="auto"/>
        <w:ind w:left="0" w:leftChars="0"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灯箱安装工程物理接口一览表</w:t>
      </w:r>
    </w:p>
    <w:tbl>
      <w:tblPr>
        <w:tblStyle w:val="18"/>
        <w:tblW w:w="95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84"/>
        <w:gridCol w:w="2280"/>
        <w:gridCol w:w="2040"/>
        <w:gridCol w:w="1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7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接口项目</w:t>
            </w:r>
          </w:p>
        </w:tc>
        <w:tc>
          <w:tcPr>
            <w:tcW w:w="21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装修承包商负责</w:t>
            </w:r>
          </w:p>
        </w:tc>
        <w:tc>
          <w:tcPr>
            <w:tcW w:w="2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灯箱承包商负责</w:t>
            </w:r>
          </w:p>
        </w:tc>
        <w:tc>
          <w:tcPr>
            <w:tcW w:w="2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接口功能说明</w:t>
            </w:r>
          </w:p>
        </w:tc>
        <w:tc>
          <w:tcPr>
            <w:tcW w:w="1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接口位置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墙体卡布</w:t>
            </w:r>
            <w:r>
              <w:rPr>
                <w:rFonts w:hint="eastAsia" w:ascii="仿宋" w:hAnsi="仿宋" w:eastAsia="仿宋" w:cs="仿宋"/>
                <w:sz w:val="24"/>
                <w:szCs w:val="24"/>
              </w:rPr>
              <w:t>广告</w:t>
            </w:r>
          </w:p>
        </w:tc>
        <w:tc>
          <w:tcPr>
            <w:tcW w:w="21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负责配电箱至灯箱</w:t>
            </w:r>
            <w:r>
              <w:rPr>
                <w:rFonts w:hint="eastAsia" w:ascii="仿宋" w:hAnsi="仿宋" w:eastAsia="仿宋" w:cs="仿宋"/>
                <w:sz w:val="24"/>
                <w:szCs w:val="24"/>
                <w:lang w:eastAsia="zh-CN"/>
              </w:rPr>
              <w:t>安装处</w:t>
            </w:r>
            <w:r>
              <w:rPr>
                <w:rFonts w:hint="eastAsia" w:ascii="仿宋" w:hAnsi="仿宋" w:eastAsia="仿宋" w:cs="仿宋"/>
                <w:sz w:val="24"/>
                <w:szCs w:val="24"/>
              </w:rPr>
              <w:t>的管线敷设。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p>
        </w:tc>
        <w:tc>
          <w:tcPr>
            <w:tcW w:w="2280" w:type="dxa"/>
            <w:noWrap w:val="0"/>
            <w:vAlign w:val="center"/>
          </w:tcPr>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1.提供灯箱设计及施工深化方案，制作提供灯箱及箱体需要的安装构件，并做安装、收口装修以及调试、验收。</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2.提供至灯箱的电源线。</w:t>
            </w:r>
          </w:p>
        </w:tc>
        <w:tc>
          <w:tcPr>
            <w:tcW w:w="2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装修为灯箱提供电源和控制，灯箱厂家负责灯箱安装和装修收口</w:t>
            </w:r>
          </w:p>
        </w:tc>
        <w:tc>
          <w:tcPr>
            <w:tcW w:w="1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p>
        </w:tc>
      </w:tr>
    </w:tbl>
    <w:p>
      <w:pPr>
        <w:pStyle w:val="3"/>
        <w:pageBreakBefore w:val="0"/>
        <w:tabs>
          <w:tab w:val="left" w:pos="993"/>
          <w:tab w:val="left" w:pos="1701"/>
        </w:tabs>
        <w:kinsoku/>
        <w:wordWrap/>
        <w:overflowPunct/>
        <w:topLinePunct w:val="0"/>
        <w:autoSpaceDE/>
        <w:autoSpaceDN/>
        <w:bidi w:val="0"/>
        <w:adjustRightInd w:val="0"/>
        <w:snapToGrid w:val="0"/>
        <w:spacing w:after="0" w:afterLines="0"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17</w:t>
      </w:r>
      <w:r>
        <w:rPr>
          <w:rFonts w:hint="eastAsia" w:ascii="仿宋" w:hAnsi="仿宋" w:eastAsia="仿宋" w:cs="仿宋"/>
          <w:sz w:val="30"/>
          <w:szCs w:val="30"/>
        </w:rPr>
        <w:t xml:space="preserve"> 功能要求</w:t>
      </w:r>
    </w:p>
    <w:p>
      <w:pPr>
        <w:pageBreakBefore w:val="0"/>
        <w:numPr>
          <w:ilvl w:val="0"/>
          <w:numId w:val="16"/>
        </w:numPr>
        <w:tabs>
          <w:tab w:val="left" w:pos="900"/>
          <w:tab w:val="left" w:pos="108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灯箱应有防潮，防雷保护；且应设有短路保护、漏电保护、过流、过压保护。</w:t>
      </w:r>
    </w:p>
    <w:p>
      <w:pPr>
        <w:pageBreakBefore w:val="0"/>
        <w:numPr>
          <w:ilvl w:val="0"/>
          <w:numId w:val="16"/>
        </w:numPr>
        <w:tabs>
          <w:tab w:val="left" w:pos="900"/>
          <w:tab w:val="left" w:pos="108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嵌入式媒体：如灯箱安装在水泥墙壁上，则卖方安装时直接用化学锚栓或者不锈钢膨胀螺栓固定即可；如安装在轻质砖墙上，则卖方需在车站装修时做预留固定件；如墙壁厚度在14CM以上，则卖方采用固定现有墙面装饰材料的龙骨连接法、以及从地面支撑固定法、或穿墙连接法均可。</w:t>
      </w:r>
    </w:p>
    <w:p>
      <w:pPr>
        <w:pStyle w:val="3"/>
        <w:pageBreakBefore w:val="0"/>
        <w:tabs>
          <w:tab w:val="left" w:pos="993"/>
          <w:tab w:val="left" w:pos="1701"/>
        </w:tabs>
        <w:kinsoku/>
        <w:wordWrap/>
        <w:overflowPunct/>
        <w:topLinePunct w:val="0"/>
        <w:autoSpaceDE/>
        <w:autoSpaceDN/>
        <w:bidi w:val="0"/>
        <w:adjustRightInd w:val="0"/>
        <w:snapToGrid w:val="0"/>
        <w:spacing w:after="0" w:afterLines="0"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18</w:t>
      </w:r>
      <w:r>
        <w:rPr>
          <w:rFonts w:hint="eastAsia" w:ascii="仿宋" w:hAnsi="仿宋" w:eastAsia="仿宋" w:cs="仿宋"/>
          <w:sz w:val="30"/>
          <w:szCs w:val="30"/>
        </w:rPr>
        <w:t xml:space="preserve"> 接口文件要求</w:t>
      </w:r>
    </w:p>
    <w:p>
      <w:pPr>
        <w:pStyle w:val="3"/>
        <w:pageBreakBefore w:val="0"/>
        <w:tabs>
          <w:tab w:val="left" w:pos="993"/>
          <w:tab w:val="left" w:pos="1701"/>
        </w:tabs>
        <w:kinsoku/>
        <w:wordWrap/>
        <w:overflowPunct/>
        <w:topLinePunct w:val="0"/>
        <w:autoSpaceDE/>
        <w:autoSpaceDN/>
        <w:bidi w:val="0"/>
        <w:adjustRightInd w:val="0"/>
        <w:snapToGrid w:val="0"/>
        <w:spacing w:after="0" w:afterLines="0"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广告灯箱卖方和土建承包商须按照下表（表15）确定的接口文件责任划分，完成接口部分的协调、配合和施工。</w:t>
      </w:r>
    </w:p>
    <w:p>
      <w:pPr>
        <w:pageBreakBefore w:val="0"/>
        <w:kinsoku/>
        <w:wordWrap/>
        <w:overflowPunct/>
        <w:topLinePunct w:val="0"/>
        <w:autoSpaceDE/>
        <w:autoSpaceDN/>
        <w:bidi w:val="0"/>
        <w:adjustRightInd w:val="0"/>
        <w:snapToGrid w:val="0"/>
        <w:spacing w:line="360" w:lineRule="auto"/>
        <w:ind w:left="0" w:leftChars="0" w:firstLine="602" w:firstLineChars="200"/>
        <w:jc w:val="left"/>
        <w:rPr>
          <w:rFonts w:hint="eastAsia" w:ascii="仿宋" w:hAnsi="仿宋" w:eastAsia="仿宋" w:cs="仿宋"/>
          <w:b/>
          <w:sz w:val="30"/>
          <w:szCs w:val="30"/>
        </w:rPr>
      </w:pPr>
      <w:r>
        <w:rPr>
          <w:rFonts w:hint="eastAsia" w:ascii="仿宋" w:hAnsi="仿宋" w:eastAsia="仿宋" w:cs="仿宋"/>
          <w:b/>
          <w:sz w:val="30"/>
          <w:szCs w:val="30"/>
        </w:rPr>
        <w:t>灯箱安装工程接口文件责任划分表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2"/>
        <w:gridCol w:w="3052"/>
        <w:gridCol w:w="3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4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装修承包商责任</w:t>
            </w:r>
          </w:p>
        </w:tc>
        <w:tc>
          <w:tcPr>
            <w:tcW w:w="30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广告灯箱卖方责任</w:t>
            </w:r>
          </w:p>
        </w:tc>
        <w:tc>
          <w:tcPr>
            <w:tcW w:w="30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完成时间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配合及确认相关资料</w:t>
            </w:r>
          </w:p>
        </w:tc>
        <w:tc>
          <w:tcPr>
            <w:tcW w:w="30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提供广告灯箱的安装图</w:t>
            </w:r>
          </w:p>
        </w:tc>
        <w:tc>
          <w:tcPr>
            <w:tcW w:w="30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装修承包商招标后的设计交底</w:t>
            </w:r>
          </w:p>
        </w:tc>
      </w:tr>
    </w:tbl>
    <w:p>
      <w:pPr>
        <w:pStyle w:val="3"/>
        <w:pageBreakBefore w:val="0"/>
        <w:tabs>
          <w:tab w:val="left" w:pos="993"/>
          <w:tab w:val="left" w:pos="1701"/>
        </w:tabs>
        <w:kinsoku/>
        <w:wordWrap/>
        <w:overflowPunct/>
        <w:topLinePunct w:val="0"/>
        <w:autoSpaceDE/>
        <w:autoSpaceDN/>
        <w:bidi w:val="0"/>
        <w:adjustRightInd w:val="0"/>
        <w:snapToGrid w:val="0"/>
        <w:spacing w:after="0" w:afterLines="0"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19</w:t>
      </w:r>
      <w:r>
        <w:rPr>
          <w:rFonts w:hint="eastAsia" w:ascii="仿宋" w:hAnsi="仿宋" w:eastAsia="仿宋" w:cs="仿宋"/>
          <w:sz w:val="30"/>
          <w:szCs w:val="30"/>
        </w:rPr>
        <w:t xml:space="preserve"> 测试要求</w:t>
      </w:r>
    </w:p>
    <w:p>
      <w:pPr>
        <w:pStyle w:val="3"/>
        <w:pageBreakBefore w:val="0"/>
        <w:tabs>
          <w:tab w:val="left" w:pos="993"/>
          <w:tab w:val="left" w:pos="1701"/>
        </w:tabs>
        <w:kinsoku/>
        <w:wordWrap/>
        <w:overflowPunct/>
        <w:topLinePunct w:val="0"/>
        <w:autoSpaceDE/>
        <w:autoSpaceDN/>
        <w:bidi w:val="0"/>
        <w:adjustRightInd w:val="0"/>
        <w:snapToGrid w:val="0"/>
        <w:spacing w:after="0" w:afterLines="0"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 xml:space="preserve">下表测试内容将由广告灯箱卖方和装修承包商共同验证： </w:t>
      </w:r>
    </w:p>
    <w:p>
      <w:pPr>
        <w:pageBreakBefore w:val="0"/>
        <w:kinsoku/>
        <w:wordWrap/>
        <w:overflowPunct/>
        <w:topLinePunct w:val="0"/>
        <w:autoSpaceDE/>
        <w:autoSpaceDN/>
        <w:bidi w:val="0"/>
        <w:adjustRightInd w:val="0"/>
        <w:snapToGrid w:val="0"/>
        <w:spacing w:line="360" w:lineRule="auto"/>
        <w:ind w:left="0" w:leftChars="0" w:firstLine="602" w:firstLineChars="200"/>
        <w:jc w:val="left"/>
        <w:rPr>
          <w:rFonts w:hint="eastAsia" w:ascii="仿宋" w:hAnsi="仿宋" w:eastAsia="仿宋" w:cs="仿宋"/>
          <w:b/>
          <w:sz w:val="30"/>
          <w:szCs w:val="30"/>
        </w:rPr>
      </w:pPr>
      <w:r>
        <w:rPr>
          <w:rFonts w:hint="eastAsia" w:ascii="仿宋" w:hAnsi="仿宋" w:eastAsia="仿宋" w:cs="仿宋"/>
          <w:b/>
          <w:sz w:val="30"/>
          <w:szCs w:val="30"/>
        </w:rPr>
        <w:t>灯箱安装工程测试表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4146"/>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类别</w:t>
            </w:r>
          </w:p>
        </w:tc>
        <w:tc>
          <w:tcPr>
            <w:tcW w:w="41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目的</w:t>
            </w:r>
          </w:p>
        </w:tc>
        <w:tc>
          <w:tcPr>
            <w:tcW w:w="23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有关物理接口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9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目视检查</w:t>
            </w:r>
          </w:p>
        </w:tc>
        <w:tc>
          <w:tcPr>
            <w:tcW w:w="41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1.检查各接口是否满足灯箱安装的相关要求；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2.安装是否恰当地、正确地按照设计实施；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3.目视检查在安装完成后在现场进行。</w:t>
            </w:r>
          </w:p>
        </w:tc>
        <w:tc>
          <w:tcPr>
            <w:tcW w:w="23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所有接口</w:t>
            </w:r>
          </w:p>
        </w:tc>
      </w:tr>
    </w:tbl>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注：各有关承包商须根据工程进度协调进行以上的测试。</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 xml:space="preserve"> 安装施工规范要求</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.1  施工前必须认真核对施工图纸，对现场建筑物与钢结构的连接点认真核查，按图施工。</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.2  确定灯箱安装的位置，根据实际情况和灯箱品种确定安装方法。</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.3  根据灯箱背面的安装角码位置或现场实际尺寸来确定安装灯箱的固定点。</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.4  钢结构与膨胀螺栓的固定点及钢架与预埋金属固定构件的焊接必须可靠，并进行特别的防锈处理。</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.5  连接件、各构件之间除图纸另有规定外，构件之间均用电焊连接，贴角焊缝长度为满焊焊缝，并符合焊接工艺的要求。</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.6  施工时必须要有防火、安全防范措施，严禁火星溅落。</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.7  钢结构安装完毕应即进行防锈处理，先去锈，然后涂上二层防锈漆，再外涂油漆。</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.8  灯箱固定在墙面上或立于地面上均须符合建筑安装的技术规范，连接的化学锚栓或者不锈钢膨胀螺栓及预埋金属固定构件，必须能承受满足灯箱整体框架重量及相关安全系数余量的拉力，必要时要在单面、双面或三面多处用撑脚支撑灯箱，确保安全。</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1</w:t>
      </w:r>
      <w:r>
        <w:rPr>
          <w:rFonts w:hint="eastAsia" w:ascii="仿宋" w:hAnsi="仿宋" w:eastAsia="仿宋" w:cs="仿宋"/>
          <w:sz w:val="30"/>
          <w:szCs w:val="30"/>
        </w:rPr>
        <w:t>.9  安装支点是砖墙须用卧铁或对销螺栓。</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灯箱上下必须垂直，不得歪斜。</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rPr>
        <w:t>广告灯箱安装完毕后，灯箱表面应保证与墙面完成面齐平的安装要求。</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20</w:t>
      </w:r>
      <w:r>
        <w:rPr>
          <w:rFonts w:hint="eastAsia" w:ascii="仿宋" w:hAnsi="仿宋" w:eastAsia="仿宋" w:cs="仿宋"/>
          <w:sz w:val="30"/>
          <w:szCs w:val="30"/>
        </w:rPr>
        <w:t xml:space="preserve">  不允许对设备进行任何形式的修补或修复，除非买方认为设备受损不严重，认为可采用认可的方法实现修复。</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 xml:space="preserve">  提交 </w:t>
      </w:r>
    </w:p>
    <w:p>
      <w:pPr>
        <w:pStyle w:val="27"/>
        <w:pageBreakBefore w:val="0"/>
        <w:kinsoku/>
        <w:wordWrap/>
        <w:overflowPunct/>
        <w:topLinePunct w:val="0"/>
        <w:autoSpaceDE/>
        <w:autoSpaceDN/>
        <w:bidi w:val="0"/>
        <w:adjustRightInd w:val="0"/>
        <w:snapToGrid w:val="0"/>
        <w:spacing w:before="0" w:beforeLines="0" w:after="0" w:afterLines="0" w:line="360" w:lineRule="auto"/>
        <w:ind w:left="0" w:leftChars="0" w:firstLine="600" w:firstLineChars="200"/>
        <w:rPr>
          <w:rFonts w:hint="eastAsia" w:ascii="仿宋" w:hAnsi="仿宋" w:eastAsia="仿宋" w:cs="仿宋"/>
          <w:spacing w:val="0"/>
          <w:kern w:val="2"/>
          <w:sz w:val="30"/>
          <w:szCs w:val="30"/>
          <w:lang w:val="en-US" w:eastAsia="zh-CN"/>
        </w:rPr>
      </w:pPr>
      <w:r>
        <w:rPr>
          <w:rFonts w:hint="eastAsia" w:ascii="仿宋" w:hAnsi="仿宋" w:eastAsia="仿宋" w:cs="仿宋"/>
          <w:spacing w:val="0"/>
          <w:kern w:val="2"/>
          <w:sz w:val="30"/>
          <w:szCs w:val="30"/>
          <w:lang w:val="en-US" w:eastAsia="zh-CN"/>
        </w:rPr>
        <w:t>卖方须确保提交的文件及资料应能够被买方立即用于审核的带有相关资质的有效文件，而毋须再作修改、复位格式或再进行任何其它操作。卖方提交的文件及资料须包括（但不限于）：制作/施工图纸、计算结果、样品、证书、质量检验报告、其它资料（包括产品合格证明、保修卡、质保证明、使用说明、安装手册及维护手册）等。</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.1 制作/施工图纸</w:t>
      </w:r>
    </w:p>
    <w:p>
      <w:pPr>
        <w:pStyle w:val="27"/>
        <w:pageBreakBefore w:val="0"/>
        <w:tabs>
          <w:tab w:val="left" w:pos="-81"/>
        </w:tabs>
        <w:kinsoku/>
        <w:wordWrap/>
        <w:overflowPunct/>
        <w:topLinePunct w:val="0"/>
        <w:autoSpaceDE/>
        <w:autoSpaceDN/>
        <w:bidi w:val="0"/>
        <w:adjustRightInd w:val="0"/>
        <w:snapToGrid w:val="0"/>
        <w:spacing w:before="0" w:beforeLines="0" w:after="0" w:afterLines="0" w:line="360" w:lineRule="auto"/>
        <w:ind w:left="0" w:leftChars="0" w:firstLine="600" w:firstLineChars="200"/>
        <w:rPr>
          <w:rFonts w:hint="eastAsia" w:ascii="仿宋" w:hAnsi="仿宋" w:eastAsia="仿宋" w:cs="仿宋"/>
          <w:spacing w:val="0"/>
          <w:kern w:val="2"/>
          <w:sz w:val="30"/>
          <w:szCs w:val="30"/>
          <w:lang w:val="en-US" w:eastAsia="zh-CN"/>
        </w:rPr>
      </w:pPr>
      <w:r>
        <w:rPr>
          <w:rFonts w:hint="eastAsia" w:ascii="仿宋" w:hAnsi="仿宋" w:eastAsia="仿宋" w:cs="仿宋"/>
          <w:spacing w:val="0"/>
          <w:kern w:val="2"/>
          <w:sz w:val="30"/>
          <w:szCs w:val="30"/>
          <w:lang w:val="en-US" w:eastAsia="zh-CN"/>
        </w:rPr>
        <w:t>制作/施工图必须至少包含以下资料：</w:t>
      </w:r>
    </w:p>
    <w:p>
      <w:pPr>
        <w:pStyle w:val="28"/>
        <w:pageBreakBefore w:val="0"/>
        <w:numPr>
          <w:ilvl w:val="0"/>
          <w:numId w:val="0"/>
        </w:numPr>
        <w:tabs>
          <w:tab w:val="left" w:pos="0"/>
          <w:tab w:val="left" w:pos="525"/>
          <w:tab w:val="left" w:pos="900"/>
          <w:tab w:val="left" w:pos="1080"/>
        </w:tabs>
        <w:kinsoku/>
        <w:wordWrap/>
        <w:overflowPunct/>
        <w:topLinePunct w:val="0"/>
        <w:autoSpaceDE/>
        <w:autoSpaceDN/>
        <w:bidi w:val="0"/>
        <w:adjustRightInd w:val="0"/>
        <w:snapToGrid w:val="0"/>
        <w:spacing w:before="0" w:beforeLines="0" w:after="0" w:afterLines="0" w:line="360" w:lineRule="auto"/>
        <w:ind w:left="0" w:leftChars="0" w:firstLine="600" w:firstLineChars="200"/>
        <w:jc w:val="both"/>
        <w:rPr>
          <w:rFonts w:hint="eastAsia" w:ascii="仿宋" w:hAnsi="仿宋" w:eastAsia="仿宋" w:cs="仿宋"/>
          <w:kern w:val="2"/>
          <w:sz w:val="30"/>
          <w:szCs w:val="30"/>
          <w:lang w:val="en-US"/>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w:t>
      </w:r>
      <w:r>
        <w:rPr>
          <w:rFonts w:hint="eastAsia" w:ascii="仿宋" w:hAnsi="仿宋" w:eastAsia="仿宋" w:cs="仿宋"/>
          <w:sz w:val="30"/>
          <w:szCs w:val="30"/>
          <w:lang w:val="en-US" w:eastAsia="zh-CN"/>
        </w:rPr>
        <w:t>2</w:t>
      </w:r>
      <w:r>
        <w:rPr>
          <w:rFonts w:hint="eastAsia" w:ascii="仿宋" w:hAnsi="仿宋" w:eastAsia="仿宋" w:cs="仿宋"/>
          <w:kern w:val="2"/>
          <w:sz w:val="30"/>
          <w:szCs w:val="30"/>
          <w:lang w:val="en-US"/>
        </w:rPr>
        <w:t>说明每个广告灯箱的制作步骤的各项制作细则，包括组装、接合位置、绞链排列、金属制作、线缆套管排列、显示介质的位置以及其它必要的详细资料。</w:t>
      </w:r>
    </w:p>
    <w:p>
      <w:pPr>
        <w:pStyle w:val="28"/>
        <w:pageBreakBefore w:val="0"/>
        <w:numPr>
          <w:ilvl w:val="0"/>
          <w:numId w:val="0"/>
        </w:numPr>
        <w:tabs>
          <w:tab w:val="left" w:pos="0"/>
          <w:tab w:val="left" w:pos="525"/>
          <w:tab w:val="left" w:pos="900"/>
          <w:tab w:val="left" w:pos="1080"/>
        </w:tabs>
        <w:kinsoku/>
        <w:wordWrap/>
        <w:overflowPunct/>
        <w:topLinePunct w:val="0"/>
        <w:autoSpaceDE/>
        <w:autoSpaceDN/>
        <w:bidi w:val="0"/>
        <w:adjustRightInd w:val="0"/>
        <w:snapToGrid w:val="0"/>
        <w:spacing w:before="0" w:beforeLines="0" w:after="0" w:afterLines="0" w:line="360" w:lineRule="auto"/>
        <w:ind w:left="0" w:leftChars="0" w:firstLine="600" w:firstLineChars="200"/>
        <w:jc w:val="both"/>
        <w:rPr>
          <w:rFonts w:hint="eastAsia" w:ascii="仿宋" w:hAnsi="仿宋" w:eastAsia="仿宋" w:cs="仿宋"/>
          <w:kern w:val="2"/>
          <w:sz w:val="30"/>
          <w:szCs w:val="30"/>
          <w:lang w:val="en-US"/>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kern w:val="2"/>
          <w:sz w:val="30"/>
          <w:szCs w:val="30"/>
          <w:lang w:val="en-US"/>
        </w:rPr>
        <w:t>电气图纸:这类图纸须显示各电气配件布置和安装方法。此外，图纸须显示电力/控制电线的布线资料。</w:t>
      </w:r>
    </w:p>
    <w:p>
      <w:pPr>
        <w:pStyle w:val="28"/>
        <w:pageBreakBefore w:val="0"/>
        <w:numPr>
          <w:ilvl w:val="0"/>
          <w:numId w:val="0"/>
        </w:numPr>
        <w:tabs>
          <w:tab w:val="left" w:pos="0"/>
          <w:tab w:val="left" w:pos="525"/>
          <w:tab w:val="left" w:pos="900"/>
          <w:tab w:val="left" w:pos="1080"/>
        </w:tabs>
        <w:kinsoku/>
        <w:wordWrap/>
        <w:overflowPunct/>
        <w:topLinePunct w:val="0"/>
        <w:autoSpaceDE/>
        <w:autoSpaceDN/>
        <w:bidi w:val="0"/>
        <w:adjustRightInd w:val="0"/>
        <w:snapToGrid w:val="0"/>
        <w:spacing w:before="0" w:beforeLines="0" w:after="0" w:afterLines="0" w:line="360" w:lineRule="auto"/>
        <w:ind w:left="0" w:leftChars="0" w:firstLine="600" w:firstLineChars="200"/>
        <w:jc w:val="both"/>
        <w:rPr>
          <w:rFonts w:hint="eastAsia" w:ascii="仿宋" w:hAnsi="仿宋" w:eastAsia="仿宋" w:cs="仿宋"/>
          <w:kern w:val="2"/>
          <w:sz w:val="30"/>
          <w:szCs w:val="30"/>
          <w:lang w:val="en-US"/>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w:t>
      </w:r>
      <w:r>
        <w:rPr>
          <w:rFonts w:hint="eastAsia" w:ascii="仿宋" w:hAnsi="仿宋" w:eastAsia="仿宋" w:cs="仿宋"/>
          <w:sz w:val="30"/>
          <w:szCs w:val="30"/>
          <w:lang w:val="en-US" w:eastAsia="zh-CN"/>
        </w:rPr>
        <w:t>4</w:t>
      </w:r>
      <w:r>
        <w:rPr>
          <w:rFonts w:hint="eastAsia" w:ascii="仿宋" w:hAnsi="仿宋" w:eastAsia="仿宋" w:cs="仿宋"/>
          <w:kern w:val="2"/>
          <w:sz w:val="30"/>
          <w:szCs w:val="30"/>
          <w:lang w:val="en-US"/>
        </w:rPr>
        <w:t>详细的安装/接口图，包括固定板和固定凹（锚凹）排列。如果适用，还要清楚标示哪些由卖方提供、哪些由土建承包商或其它第三方承包商提供。最后还要提交所有应用材料表，作最后审核和记录。</w:t>
      </w:r>
    </w:p>
    <w:p>
      <w:pPr>
        <w:pStyle w:val="28"/>
        <w:pageBreakBefore w:val="0"/>
        <w:numPr>
          <w:ilvl w:val="0"/>
          <w:numId w:val="0"/>
        </w:numPr>
        <w:tabs>
          <w:tab w:val="left" w:pos="0"/>
          <w:tab w:val="left" w:pos="525"/>
          <w:tab w:val="left" w:pos="900"/>
          <w:tab w:val="left" w:pos="1080"/>
        </w:tabs>
        <w:kinsoku/>
        <w:wordWrap/>
        <w:overflowPunct/>
        <w:topLinePunct w:val="0"/>
        <w:autoSpaceDE/>
        <w:autoSpaceDN/>
        <w:bidi w:val="0"/>
        <w:adjustRightInd w:val="0"/>
        <w:snapToGrid w:val="0"/>
        <w:spacing w:before="0" w:beforeLines="0" w:after="0" w:afterLines="0" w:line="360" w:lineRule="auto"/>
        <w:ind w:left="0" w:leftChars="0" w:firstLine="600" w:firstLineChars="200"/>
        <w:jc w:val="both"/>
        <w:rPr>
          <w:rFonts w:hint="eastAsia" w:ascii="仿宋" w:hAnsi="仿宋" w:eastAsia="仿宋" w:cs="仿宋"/>
          <w:kern w:val="2"/>
          <w:sz w:val="30"/>
          <w:szCs w:val="30"/>
          <w:lang w:val="en-US"/>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w:t>
      </w:r>
      <w:r>
        <w:rPr>
          <w:rFonts w:hint="eastAsia" w:ascii="仿宋" w:hAnsi="仿宋" w:eastAsia="仿宋" w:cs="仿宋"/>
          <w:sz w:val="30"/>
          <w:szCs w:val="30"/>
          <w:lang w:val="en-US" w:eastAsia="zh-CN"/>
        </w:rPr>
        <w:t>5</w:t>
      </w:r>
      <w:r>
        <w:rPr>
          <w:rFonts w:hint="eastAsia" w:ascii="仿宋" w:hAnsi="仿宋" w:eastAsia="仿宋" w:cs="仿宋"/>
          <w:kern w:val="2"/>
          <w:sz w:val="30"/>
          <w:szCs w:val="30"/>
          <w:lang w:val="en-US"/>
        </w:rPr>
        <w:t>图表，资料应包括所有吊装广告灯箱的支撑架的长度。</w:t>
      </w:r>
    </w:p>
    <w:p>
      <w:pPr>
        <w:pStyle w:val="28"/>
        <w:pageBreakBefore w:val="0"/>
        <w:numPr>
          <w:ilvl w:val="0"/>
          <w:numId w:val="0"/>
        </w:numPr>
        <w:tabs>
          <w:tab w:val="left" w:pos="0"/>
          <w:tab w:val="left" w:pos="525"/>
          <w:tab w:val="left" w:pos="900"/>
          <w:tab w:val="left" w:pos="1080"/>
        </w:tabs>
        <w:kinsoku/>
        <w:wordWrap/>
        <w:overflowPunct/>
        <w:topLinePunct w:val="0"/>
        <w:autoSpaceDE/>
        <w:autoSpaceDN/>
        <w:bidi w:val="0"/>
        <w:adjustRightInd w:val="0"/>
        <w:snapToGrid w:val="0"/>
        <w:spacing w:before="0" w:beforeLines="0" w:after="0" w:afterLines="0" w:line="360" w:lineRule="auto"/>
        <w:ind w:left="0" w:leftChars="0" w:firstLine="600" w:firstLineChars="200"/>
        <w:jc w:val="both"/>
        <w:rPr>
          <w:rFonts w:hint="eastAsia" w:ascii="仿宋" w:hAnsi="仿宋" w:eastAsia="仿宋" w:cs="仿宋"/>
          <w:kern w:val="2"/>
          <w:sz w:val="30"/>
          <w:szCs w:val="30"/>
          <w:lang w:val="en-US"/>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3</w:t>
      </w:r>
      <w:r>
        <w:rPr>
          <w:rFonts w:hint="eastAsia" w:ascii="仿宋" w:hAnsi="仿宋" w:eastAsia="仿宋" w:cs="仿宋"/>
          <w:sz w:val="30"/>
          <w:szCs w:val="30"/>
        </w:rPr>
        <w:t>.</w:t>
      </w:r>
      <w:r>
        <w:rPr>
          <w:rFonts w:hint="eastAsia" w:ascii="仿宋" w:hAnsi="仿宋" w:eastAsia="仿宋" w:cs="仿宋"/>
          <w:sz w:val="30"/>
          <w:szCs w:val="30"/>
          <w:lang w:val="en-US" w:eastAsia="zh-CN"/>
        </w:rPr>
        <w:t>6</w:t>
      </w:r>
      <w:r>
        <w:rPr>
          <w:rFonts w:hint="eastAsia" w:ascii="仿宋" w:hAnsi="仿宋" w:eastAsia="仿宋" w:cs="仿宋"/>
          <w:kern w:val="2"/>
          <w:sz w:val="30"/>
          <w:szCs w:val="30"/>
          <w:lang w:val="en-US"/>
        </w:rPr>
        <w:t>检修参考图,数据应包括图像表示检修的步骤,组件的装拆程序,检修次数,每一类广告灯箱的灯具及主要电器组件的品牌及型号,检修时需留意的职业健康及安全守则。</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4</w:t>
      </w:r>
      <w:r>
        <w:rPr>
          <w:rFonts w:hint="eastAsia" w:ascii="仿宋" w:hAnsi="仿宋" w:eastAsia="仿宋" w:cs="仿宋"/>
          <w:sz w:val="30"/>
          <w:szCs w:val="30"/>
        </w:rPr>
        <w:t xml:space="preserve">.2  </w:t>
      </w:r>
    </w:p>
    <w:p>
      <w:pPr>
        <w:pageBreakBefore w:val="0"/>
        <w:kinsoku/>
        <w:wordWrap/>
        <w:overflowPunct/>
        <w:topLinePunct w:val="0"/>
        <w:autoSpaceDE/>
        <w:autoSpaceDN/>
        <w:bidi w:val="0"/>
        <w:adjustRightInd w:val="0"/>
        <w:snapToGrid w:val="0"/>
        <w:spacing w:line="360" w:lineRule="auto"/>
        <w:ind w:left="0" w:leftChars="0"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20</w:t>
      </w:r>
      <w:r>
        <w:rPr>
          <w:rFonts w:hint="eastAsia" w:ascii="仿宋" w:hAnsi="仿宋" w:eastAsia="仿宋" w:cs="仿宋"/>
          <w:sz w:val="30"/>
          <w:szCs w:val="30"/>
        </w:rPr>
        <w:t>.</w:t>
      </w:r>
      <w:r>
        <w:rPr>
          <w:rFonts w:hint="eastAsia" w:ascii="仿宋" w:hAnsi="仿宋" w:eastAsia="仿宋" w:cs="仿宋"/>
          <w:sz w:val="30"/>
          <w:szCs w:val="30"/>
          <w:lang w:val="en-US" w:eastAsia="zh-CN"/>
        </w:rPr>
        <w:t>4</w:t>
      </w:r>
      <w:r>
        <w:rPr>
          <w:rFonts w:hint="eastAsia" w:ascii="仿宋" w:hAnsi="仿宋" w:eastAsia="仿宋" w:cs="仿宋"/>
          <w:sz w:val="30"/>
          <w:szCs w:val="30"/>
        </w:rPr>
        <w:t>.2 调试</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灯箱施工安装完毕后，卖方应按照</w:t>
      </w:r>
      <w:r>
        <w:rPr>
          <w:rFonts w:hint="eastAsia" w:ascii="仿宋" w:hAnsi="仿宋" w:eastAsia="仿宋" w:cs="仿宋"/>
          <w:sz w:val="30"/>
          <w:szCs w:val="30"/>
          <w:lang w:eastAsia="zh-CN"/>
        </w:rPr>
        <w:t>渝武机场</w:t>
      </w:r>
      <w:r>
        <w:rPr>
          <w:rFonts w:hint="eastAsia" w:ascii="仿宋" w:hAnsi="仿宋" w:eastAsia="仿宋" w:cs="仿宋"/>
          <w:sz w:val="30"/>
          <w:szCs w:val="30"/>
        </w:rPr>
        <w:t>工程系统调试计划，参与并负责灯箱设备的调试工作，保证灯箱设备运行稳定可靠。</w:t>
      </w:r>
    </w:p>
    <w:p>
      <w:pPr>
        <w:pStyle w:val="29"/>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21</w:t>
      </w:r>
      <w:r>
        <w:rPr>
          <w:rFonts w:hint="eastAsia" w:ascii="仿宋" w:hAnsi="仿宋" w:eastAsia="仿宋" w:cs="仿宋"/>
          <w:color w:val="auto"/>
          <w:sz w:val="30"/>
          <w:szCs w:val="30"/>
        </w:rPr>
        <w:t xml:space="preserve">   质保系统</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21</w:t>
      </w:r>
      <w:r>
        <w:rPr>
          <w:rFonts w:hint="eastAsia" w:ascii="仿宋" w:hAnsi="仿宋" w:eastAsia="仿宋" w:cs="仿宋"/>
          <w:sz w:val="30"/>
          <w:szCs w:val="30"/>
        </w:rPr>
        <w:t>.1  质量保证</w:t>
      </w:r>
    </w:p>
    <w:p>
      <w:pPr>
        <w:pageBreakBefore w:val="0"/>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21</w:t>
      </w:r>
      <w:r>
        <w:rPr>
          <w:rFonts w:hint="eastAsia" w:ascii="仿宋" w:hAnsi="仿宋" w:eastAsia="仿宋" w:cs="仿宋"/>
          <w:sz w:val="30"/>
          <w:szCs w:val="30"/>
        </w:rPr>
        <w:t>.1.1  灯箱卖方应有完善的质保体系，合同设备制造安装如下全过程（包括原材料选用和外购件选用）均应纳入质保体系。</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设计（包括设计联络和设计配合）</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制造</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运输</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安装、督导和检验</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验收测试</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调试运行</w:t>
      </w:r>
    </w:p>
    <w:p>
      <w:pPr>
        <w:pageBreakBefore w:val="0"/>
        <w:numPr>
          <w:ilvl w:val="0"/>
          <w:numId w:val="18"/>
        </w:numPr>
        <w:tabs>
          <w:tab w:val="left" w:pos="1260"/>
          <w:tab w:val="left" w:pos="1440"/>
        </w:tabs>
        <w:kinsoku/>
        <w:wordWrap/>
        <w:overflowPunct/>
        <w:topLinePunct w:val="0"/>
        <w:autoSpaceDE/>
        <w:autoSpaceDN/>
        <w:bidi w:val="0"/>
        <w:adjustRightInd w:val="0"/>
        <w:snapToGrid w:val="0"/>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质保期服务</w:t>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rPr>
        <w:t>售后服务</w:t>
      </w:r>
    </w:p>
    <w:p>
      <w:pPr>
        <w:rPr>
          <w:rFonts w:hint="eastAsia"/>
          <w:lang w:val="en-US" w:eastAsia="zh-CN"/>
        </w:rPr>
      </w:pPr>
      <w:bookmarkStart w:id="13" w:name="_Toc8540"/>
      <w:r>
        <w:rPr>
          <w:rFonts w:hint="eastAsia"/>
          <w:lang w:val="en-US" w:eastAsia="zh-CN"/>
        </w:rPr>
        <w:br w:type="page"/>
      </w:r>
    </w:p>
    <w:p>
      <w:pPr>
        <w:pStyle w:val="4"/>
        <w:bidi w:val="0"/>
        <w:ind w:left="0" w:leftChars="0" w:firstLine="0" w:firstLineChars="0"/>
        <w:rPr>
          <w:rFonts w:hint="eastAsia"/>
          <w:lang w:val="en-US" w:eastAsia="zh-CN"/>
        </w:rPr>
      </w:pPr>
      <w:r>
        <w:rPr>
          <w:rFonts w:hint="eastAsia"/>
          <w:lang w:val="en-US" w:eastAsia="zh-CN"/>
        </w:rPr>
        <w:t>广告牌示意图</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1、</w:t>
      </w:r>
      <w:r>
        <w:rPr>
          <w:rFonts w:hint="eastAsia" w:ascii="仿宋" w:hAnsi="仿宋" w:eastAsia="仿宋" w:cs="仿宋"/>
          <w:sz w:val="30"/>
          <w:szCs w:val="30"/>
        </w:rPr>
        <w:t>值机大厅</w:t>
      </w:r>
      <w:r>
        <w:rPr>
          <w:rFonts w:hint="eastAsia" w:ascii="仿宋" w:hAnsi="仿宋" w:eastAsia="仿宋" w:cs="仿宋"/>
          <w:sz w:val="30"/>
          <w:szCs w:val="30"/>
          <w:lang w:eastAsia="zh-CN"/>
        </w:rPr>
        <w:t>。</w:t>
      </w:r>
      <w:r>
        <w:rPr>
          <w:rFonts w:hint="eastAsia" w:ascii="仿宋" w:hAnsi="仿宋" w:eastAsia="仿宋" w:cs="仿宋"/>
          <w:sz w:val="30"/>
          <w:szCs w:val="30"/>
        </w:rPr>
        <w:t>预留广告机15套。靠幕墙侧共15套预留广告机位</w:t>
      </w:r>
      <w:r>
        <w:rPr>
          <w:rFonts w:hint="eastAsia" w:ascii="仿宋" w:hAnsi="仿宋" w:eastAsia="仿宋" w:cs="仿宋"/>
          <w:sz w:val="30"/>
          <w:szCs w:val="30"/>
          <w:lang w:eastAsia="zh-CN"/>
        </w:rPr>
        <w:t>约</w:t>
      </w:r>
      <w:r>
        <w:rPr>
          <w:rFonts w:hint="eastAsia" w:ascii="仿宋" w:hAnsi="仿宋" w:eastAsia="仿宋" w:cs="仿宋"/>
          <w:sz w:val="30"/>
          <w:szCs w:val="30"/>
        </w:rPr>
        <w:t>宽</w:t>
      </w:r>
      <w:r>
        <w:rPr>
          <w:rFonts w:hint="eastAsia" w:ascii="仿宋" w:hAnsi="仿宋" w:eastAsia="仿宋" w:cs="仿宋"/>
          <w:sz w:val="30"/>
          <w:szCs w:val="30"/>
          <w:lang w:val="en-US" w:eastAsia="zh-CN"/>
        </w:rPr>
        <w:t>800</w:t>
      </w:r>
      <w:r>
        <w:rPr>
          <w:rFonts w:hint="eastAsia" w:ascii="仿宋" w:hAnsi="仿宋" w:eastAsia="仿宋" w:cs="仿宋"/>
          <w:sz w:val="30"/>
          <w:szCs w:val="30"/>
        </w:rPr>
        <w:t>mm*高19</w:t>
      </w:r>
      <w:r>
        <w:rPr>
          <w:rFonts w:hint="eastAsia" w:ascii="仿宋" w:hAnsi="仿宋" w:eastAsia="仿宋" w:cs="仿宋"/>
          <w:sz w:val="30"/>
          <w:szCs w:val="30"/>
          <w:lang w:val="en-US" w:eastAsia="zh-CN"/>
        </w:rPr>
        <w:t>00</w:t>
      </w:r>
      <w:r>
        <w:rPr>
          <w:rFonts w:hint="eastAsia" w:ascii="仿宋" w:hAnsi="仿宋" w:eastAsia="仿宋" w:cs="仿宋"/>
          <w:sz w:val="30"/>
          <w:szCs w:val="30"/>
        </w:rPr>
        <w:t>mm*厚40mm（含底座）</w:t>
      </w:r>
      <w:r>
        <w:rPr>
          <w:rFonts w:hint="eastAsia" w:ascii="仿宋" w:hAnsi="仿宋" w:eastAsia="仿宋" w:cs="仿宋"/>
          <w:sz w:val="30"/>
          <w:szCs w:val="30"/>
          <w:lang w:eastAsia="zh-CN"/>
        </w:rPr>
        <w:t>，单个</w:t>
      </w:r>
      <w:r>
        <w:rPr>
          <w:rFonts w:hint="eastAsia" w:ascii="仿宋" w:hAnsi="仿宋" w:eastAsia="仿宋" w:cs="仿宋"/>
          <w:sz w:val="30"/>
          <w:szCs w:val="30"/>
        </w:rPr>
        <w:t>广告机</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180W，主电源线6m2阻燃电源线三相连接，预留单根六类网线，每个</w:t>
      </w:r>
      <w:r>
        <w:rPr>
          <w:rFonts w:hint="eastAsia" w:ascii="仿宋" w:hAnsi="仿宋" w:eastAsia="仿宋" w:cs="仿宋"/>
          <w:sz w:val="30"/>
          <w:szCs w:val="30"/>
        </w:rPr>
        <w:t>广告机</w:t>
      </w:r>
      <w:r>
        <w:rPr>
          <w:rFonts w:hint="eastAsia" w:ascii="仿宋" w:hAnsi="仿宋" w:eastAsia="仿宋" w:cs="仿宋"/>
          <w:sz w:val="30"/>
          <w:szCs w:val="30"/>
          <w:lang w:eastAsia="zh-CN"/>
        </w:rPr>
        <w:t>背面安装插座。</w:t>
      </w:r>
    </w:p>
    <w:p>
      <w:pPr>
        <w:pageBreakBefore w:val="0"/>
        <w:kinsoku/>
        <w:wordWrap/>
        <w:overflowPunct/>
        <w:topLinePunct w:val="0"/>
        <w:autoSpaceDE/>
        <w:autoSpaceDN/>
        <w:bidi w:val="0"/>
        <w:adjustRightInd/>
        <w:snapToGrid/>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955030" cy="330327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rcRect l="1245" r="1453" b="383"/>
                    <a:stretch>
                      <a:fillRect/>
                    </a:stretch>
                  </pic:blipFill>
                  <pic:spPr>
                    <a:xfrm>
                      <a:off x="0" y="0"/>
                      <a:ext cx="5955030" cy="330327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959475" cy="3329940"/>
            <wp:effectExtent l="0" t="0" r="1460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959475" cy="3329940"/>
                    </a:xfrm>
                    <a:prstGeom prst="rect">
                      <a:avLst/>
                    </a:prstGeom>
                    <a:noFill/>
                    <a:ln>
                      <a:noFill/>
                    </a:ln>
                  </pic:spPr>
                </pic:pic>
              </a:graphicData>
            </a:graphic>
          </wp:inline>
        </w:drawing>
      </w:r>
      <w:r>
        <w:rPr>
          <w:rFonts w:hint="eastAsia" w:ascii="仿宋" w:hAnsi="仿宋" w:eastAsia="仿宋" w:cs="仿宋"/>
          <w:sz w:val="30"/>
          <w:szCs w:val="30"/>
        </w:rPr>
        <w:drawing>
          <wp:inline distT="0" distB="0" distL="114300" distR="114300">
            <wp:extent cx="6080760" cy="3294380"/>
            <wp:effectExtent l="0" t="0" r="1524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080760" cy="32943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6097905" cy="3010535"/>
            <wp:effectExtent l="0" t="0" r="1714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97905" cy="3010535"/>
                    </a:xfrm>
                    <a:prstGeom prst="rect">
                      <a:avLst/>
                    </a:prstGeom>
                    <a:noFill/>
                    <a:ln>
                      <a:noFill/>
                    </a:ln>
                  </pic:spPr>
                </pic:pic>
              </a:graphicData>
            </a:graphic>
          </wp:inline>
        </w:drawing>
      </w:r>
    </w:p>
    <w:p>
      <w:pPr>
        <w:rPr>
          <w:rFonts w:hint="eastAsia" w:ascii="仿宋" w:hAnsi="仿宋" w:eastAsia="仿宋" w:cs="仿宋"/>
          <w:sz w:val="30"/>
          <w:szCs w:val="30"/>
        </w:rPr>
      </w:pPr>
      <w:r>
        <w:rPr>
          <w:rFonts w:hint="eastAsia" w:ascii="仿宋" w:hAnsi="仿宋" w:eastAsia="仿宋" w:cs="仿宋"/>
          <w:sz w:val="30"/>
          <w:szCs w:val="30"/>
        </w:rPr>
        <w:br w:type="page"/>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r>
        <w:rPr>
          <w:rFonts w:hint="eastAsia" w:ascii="仿宋" w:hAnsi="仿宋" w:eastAsia="仿宋" w:cs="仿宋"/>
          <w:sz w:val="30"/>
          <w:szCs w:val="30"/>
        </w:rPr>
        <w:t>2、值机大厅二层楼板</w:t>
      </w:r>
      <w:r>
        <w:rPr>
          <w:rFonts w:hint="eastAsia" w:ascii="仿宋" w:hAnsi="仿宋" w:eastAsia="仿宋" w:cs="仿宋"/>
          <w:sz w:val="30"/>
          <w:szCs w:val="30"/>
          <w:lang w:eastAsia="zh-CN"/>
        </w:rPr>
        <w:t>。</w:t>
      </w:r>
      <w:r>
        <w:rPr>
          <w:rFonts w:hint="eastAsia" w:ascii="仿宋" w:hAnsi="仿宋" w:eastAsia="仿宋" w:cs="仿宋"/>
          <w:sz w:val="30"/>
          <w:szCs w:val="30"/>
        </w:rPr>
        <w:t>灯箱广告 4块10x5mx4套</w:t>
      </w:r>
      <w:r>
        <w:rPr>
          <w:rFonts w:hint="eastAsia" w:ascii="仿宋" w:hAnsi="仿宋" w:eastAsia="仿宋" w:cs="仿宋"/>
          <w:sz w:val="30"/>
          <w:szCs w:val="30"/>
          <w:lang w:eastAsia="zh-CN"/>
        </w:rPr>
        <w:t>，单个灯箱负荷</w:t>
      </w:r>
      <w:r>
        <w:rPr>
          <w:rFonts w:hint="eastAsia" w:ascii="仿宋" w:hAnsi="仿宋" w:eastAsia="仿宋" w:cs="仿宋"/>
          <w:sz w:val="30"/>
          <w:szCs w:val="30"/>
          <w:lang w:val="en-US" w:eastAsia="zh-CN"/>
        </w:rPr>
        <w:t>2.1KWx2个</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4.2KW，预埋2.5m2阻燃电源线三相连接。</w:t>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6013450" cy="2947670"/>
            <wp:effectExtent l="0" t="0" r="6350" b="8890"/>
            <wp:docPr id="6" name="图片 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4"/>
                    <pic:cNvPicPr>
                      <a:picLocks noChangeAspect="1"/>
                    </pic:cNvPicPr>
                  </pic:nvPicPr>
                  <pic:blipFill>
                    <a:blip r:embed="rId12"/>
                    <a:stretch>
                      <a:fillRect/>
                    </a:stretch>
                  </pic:blipFill>
                  <pic:spPr>
                    <a:xfrm>
                      <a:off x="0" y="0"/>
                      <a:ext cx="6013450" cy="294767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6188710" cy="3401695"/>
            <wp:effectExtent l="0" t="0" r="1397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88710" cy="3401695"/>
                    </a:xfrm>
                    <a:prstGeom prst="rect">
                      <a:avLst/>
                    </a:prstGeom>
                    <a:noFill/>
                    <a:ln>
                      <a:noFill/>
                    </a:ln>
                  </pic:spPr>
                </pic:pic>
              </a:graphicData>
            </a:graphic>
          </wp:inline>
        </w:drawing>
      </w:r>
    </w:p>
    <w:p>
      <w:pPr>
        <w:rPr>
          <w:rFonts w:hint="eastAsia" w:ascii="仿宋" w:hAnsi="仿宋" w:eastAsia="仿宋" w:cs="仿宋"/>
          <w:sz w:val="30"/>
          <w:szCs w:val="30"/>
        </w:rPr>
      </w:pPr>
      <w:r>
        <w:rPr>
          <w:rFonts w:hint="eastAsia" w:ascii="仿宋" w:hAnsi="仿宋" w:eastAsia="仿宋" w:cs="仿宋"/>
          <w:sz w:val="30"/>
          <w:szCs w:val="30"/>
        </w:rPr>
        <w:br w:type="page"/>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3、</w:t>
      </w:r>
      <w:r>
        <w:rPr>
          <w:rFonts w:hint="eastAsia" w:ascii="仿宋" w:hAnsi="仿宋" w:eastAsia="仿宋" w:cs="仿宋"/>
          <w:sz w:val="30"/>
          <w:szCs w:val="30"/>
          <w:lang w:eastAsia="zh-CN"/>
        </w:rPr>
        <w:t>等</w:t>
      </w:r>
      <w:r>
        <w:rPr>
          <w:rFonts w:hint="eastAsia" w:ascii="仿宋" w:hAnsi="仿宋" w:eastAsia="仿宋" w:cs="仿宋"/>
          <w:sz w:val="30"/>
          <w:szCs w:val="30"/>
        </w:rPr>
        <w:t>机位候机大厅  灯箱广告屏</w:t>
      </w:r>
      <w:r>
        <w:rPr>
          <w:rFonts w:hint="eastAsia" w:ascii="仿宋" w:hAnsi="仿宋" w:eastAsia="仿宋" w:cs="仿宋"/>
          <w:sz w:val="30"/>
          <w:szCs w:val="30"/>
          <w:lang w:eastAsia="zh-CN"/>
        </w:rPr>
        <w:t>。</w:t>
      </w:r>
      <w:r>
        <w:rPr>
          <w:rFonts w:hint="eastAsia" w:ascii="仿宋" w:hAnsi="仿宋" w:eastAsia="仿宋" w:cs="仿宋"/>
          <w:sz w:val="30"/>
          <w:szCs w:val="30"/>
        </w:rPr>
        <w:t xml:space="preserve">6.6X3mx1块   </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1.05KW，预埋1.5m2阻燃电源线三相连接；</w:t>
      </w:r>
      <w:r>
        <w:rPr>
          <w:rFonts w:hint="eastAsia" w:ascii="仿宋" w:hAnsi="仿宋" w:eastAsia="仿宋" w:cs="仿宋"/>
          <w:sz w:val="30"/>
          <w:szCs w:val="30"/>
        </w:rPr>
        <w:t>5.7X3mx1块</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1.05KW，预埋1.5m2阻燃电源线三相连接。</w:t>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6115050" cy="3204845"/>
            <wp:effectExtent l="0" t="0" r="0" b="14605"/>
            <wp:docPr id="10" name="图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3"/>
                    <pic:cNvPicPr>
                      <a:picLocks noChangeAspect="1"/>
                    </pic:cNvPicPr>
                  </pic:nvPicPr>
                  <pic:blipFill>
                    <a:blip r:embed="rId14"/>
                    <a:stretch>
                      <a:fillRect/>
                    </a:stretch>
                  </pic:blipFill>
                  <pic:spPr>
                    <a:xfrm>
                      <a:off x="0" y="0"/>
                      <a:ext cx="6115050" cy="320484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6111240" cy="3495040"/>
            <wp:effectExtent l="0" t="0" r="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6111240" cy="349504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6140450" cy="3114675"/>
            <wp:effectExtent l="0" t="0" r="1270"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6140450" cy="311467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6148070" cy="3315970"/>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48070" cy="3315970"/>
                    </a:xfrm>
                    <a:prstGeom prst="rect">
                      <a:avLst/>
                    </a:prstGeom>
                    <a:noFill/>
                    <a:ln>
                      <a:noFill/>
                    </a:ln>
                  </pic:spPr>
                </pic:pic>
              </a:graphicData>
            </a:graphic>
          </wp:inline>
        </w:drawing>
      </w:r>
    </w:p>
    <w:p>
      <w:pPr>
        <w:rPr>
          <w:rFonts w:hint="eastAsia" w:ascii="仿宋" w:hAnsi="仿宋" w:eastAsia="仿宋" w:cs="仿宋"/>
          <w:sz w:val="30"/>
          <w:szCs w:val="30"/>
          <w:lang w:eastAsia="zh-CN"/>
        </w:rPr>
      </w:pPr>
      <w:r>
        <w:rPr>
          <w:rFonts w:hint="eastAsia" w:ascii="仿宋" w:hAnsi="仿宋" w:eastAsia="仿宋" w:cs="仿宋"/>
          <w:sz w:val="30"/>
          <w:szCs w:val="30"/>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行李提取厅，灯箱广告</w:t>
      </w:r>
      <w:r>
        <w:rPr>
          <w:rFonts w:hint="eastAsia" w:ascii="仿宋" w:hAnsi="仿宋" w:eastAsia="仿宋" w:cs="仿宋"/>
          <w:sz w:val="30"/>
          <w:szCs w:val="30"/>
          <w:lang w:val="en-US" w:eastAsia="zh-CN"/>
        </w:rPr>
        <w:t>3</w:t>
      </w:r>
      <w:r>
        <w:rPr>
          <w:rFonts w:hint="eastAsia" w:ascii="仿宋" w:hAnsi="仿宋" w:eastAsia="仿宋" w:cs="仿宋"/>
          <w:sz w:val="30"/>
          <w:szCs w:val="30"/>
        </w:rPr>
        <w:t>块。5.73X2.55mx</w:t>
      </w:r>
      <w:r>
        <w:rPr>
          <w:rFonts w:hint="eastAsia" w:ascii="仿宋" w:hAnsi="仿宋" w:eastAsia="仿宋" w:cs="仿宋"/>
          <w:sz w:val="30"/>
          <w:szCs w:val="30"/>
          <w:lang w:val="en-US" w:eastAsia="zh-CN"/>
        </w:rPr>
        <w:t>1</w:t>
      </w:r>
      <w:r>
        <w:rPr>
          <w:rFonts w:hint="eastAsia" w:ascii="仿宋" w:hAnsi="仿宋" w:eastAsia="仿宋" w:cs="仿宋"/>
          <w:sz w:val="30"/>
          <w:szCs w:val="30"/>
        </w:rPr>
        <w:t>块</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0.84KW，</w:t>
      </w:r>
      <w:r>
        <w:rPr>
          <w:rFonts w:hint="eastAsia" w:ascii="仿宋" w:hAnsi="仿宋" w:eastAsia="仿宋" w:cs="仿宋"/>
          <w:sz w:val="30"/>
          <w:szCs w:val="30"/>
        </w:rPr>
        <w:t>6x2.55mx1块</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0.84KW</w:t>
      </w:r>
      <w:r>
        <w:rPr>
          <w:rFonts w:hint="eastAsia" w:ascii="仿宋" w:hAnsi="仿宋" w:eastAsia="仿宋" w:cs="仿宋"/>
          <w:sz w:val="30"/>
          <w:szCs w:val="30"/>
          <w:lang w:eastAsia="zh-CN"/>
        </w:rPr>
        <w:t>；</w:t>
      </w:r>
      <w:r>
        <w:rPr>
          <w:rFonts w:hint="eastAsia" w:ascii="仿宋" w:hAnsi="仿宋" w:eastAsia="仿宋" w:cs="仿宋"/>
          <w:sz w:val="30"/>
          <w:szCs w:val="30"/>
        </w:rPr>
        <w:t xml:space="preserve"> 6x2.55mx1块</w:t>
      </w:r>
      <w:r>
        <w:rPr>
          <w:rFonts w:hint="eastAsia" w:ascii="仿宋" w:hAnsi="仿宋" w:eastAsia="仿宋" w:cs="仿宋"/>
          <w:sz w:val="30"/>
          <w:szCs w:val="30"/>
          <w:lang w:eastAsia="zh-CN"/>
        </w:rPr>
        <w:t>，负荷</w:t>
      </w:r>
      <w:r>
        <w:rPr>
          <w:rFonts w:hint="eastAsia" w:ascii="仿宋" w:hAnsi="仿宋" w:eastAsia="仿宋" w:cs="仿宋"/>
          <w:sz w:val="30"/>
          <w:szCs w:val="30"/>
          <w:lang w:val="en-US" w:eastAsia="zh-CN"/>
        </w:rPr>
        <w:t>0.84KW，每块灯箱预埋2.5m2阻燃电源线三相连接。</w:t>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6073775" cy="3253105"/>
            <wp:effectExtent l="0" t="0" r="6985" b="8255"/>
            <wp:docPr id="70" name="图片 7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02"/>
                    <pic:cNvPicPr>
                      <a:picLocks noChangeAspect="1"/>
                    </pic:cNvPicPr>
                  </pic:nvPicPr>
                  <pic:blipFill>
                    <a:blip r:embed="rId18"/>
                    <a:srcRect r="43658" b="27672"/>
                    <a:stretch>
                      <a:fillRect/>
                    </a:stretch>
                  </pic:blipFill>
                  <pic:spPr>
                    <a:xfrm>
                      <a:off x="0" y="0"/>
                      <a:ext cx="6073775" cy="325310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6177915" cy="4022090"/>
            <wp:effectExtent l="0" t="0" r="9525"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6177915" cy="4022090"/>
                    </a:xfrm>
                    <a:prstGeom prst="rect">
                      <a:avLst/>
                    </a:prstGeom>
                    <a:noFill/>
                    <a:ln>
                      <a:noFill/>
                    </a:ln>
                  </pic:spPr>
                </pic:pic>
              </a:graphicData>
            </a:graphic>
          </wp:inline>
        </w:drawing>
      </w:r>
      <w:r>
        <w:rPr>
          <w:rFonts w:hint="eastAsia" w:ascii="仿宋" w:hAnsi="仿宋" w:eastAsia="仿宋" w:cs="仿宋"/>
          <w:sz w:val="30"/>
          <w:szCs w:val="30"/>
        </w:rPr>
        <w:drawing>
          <wp:inline distT="0" distB="0" distL="114300" distR="114300">
            <wp:extent cx="6181725" cy="3875405"/>
            <wp:effectExtent l="0" t="0" r="5715" b="1079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rcRect b="16432"/>
                    <a:stretch>
                      <a:fillRect/>
                    </a:stretch>
                  </pic:blipFill>
                  <pic:spPr>
                    <a:xfrm>
                      <a:off x="0" y="0"/>
                      <a:ext cx="6181725" cy="38754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6200140" cy="399288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00140" cy="3992880"/>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LED显示屏</w:t>
      </w:r>
      <w:r>
        <w:rPr>
          <w:rFonts w:hint="eastAsia" w:ascii="仿宋" w:hAnsi="仿宋" w:eastAsia="仿宋" w:cs="仿宋"/>
          <w:sz w:val="30"/>
          <w:szCs w:val="30"/>
          <w:lang w:eastAsia="zh-CN"/>
        </w:rPr>
        <w:t>。</w:t>
      </w:r>
      <w:r>
        <w:rPr>
          <w:rFonts w:hint="eastAsia" w:ascii="仿宋" w:hAnsi="仿宋" w:eastAsia="仿宋" w:cs="仿宋"/>
          <w:sz w:val="30"/>
          <w:szCs w:val="30"/>
        </w:rPr>
        <w:t>2块</w:t>
      </w:r>
      <w:r>
        <w:rPr>
          <w:rFonts w:hint="eastAsia" w:ascii="仿宋" w:hAnsi="仿宋" w:eastAsia="仿宋" w:cs="仿宋"/>
          <w:sz w:val="30"/>
          <w:szCs w:val="30"/>
          <w:lang w:eastAsia="zh-CN"/>
        </w:rPr>
        <w:t>，单块面积</w:t>
      </w:r>
      <w:r>
        <w:rPr>
          <w:rFonts w:hint="eastAsia" w:ascii="仿宋" w:hAnsi="仿宋" w:eastAsia="仿宋" w:cs="仿宋"/>
          <w:sz w:val="30"/>
          <w:szCs w:val="30"/>
          <w:lang w:val="en-US" w:eastAsia="zh-CN"/>
        </w:rPr>
        <w:t>4500X3000，负荷10.4KW，</w:t>
      </w:r>
      <w:r>
        <w:rPr>
          <w:rFonts w:hint="eastAsia" w:ascii="仿宋" w:hAnsi="仿宋" w:eastAsia="仿宋" w:cs="仿宋"/>
          <w:sz w:val="30"/>
          <w:szCs w:val="30"/>
        </w:rPr>
        <w:t xml:space="preserve"> 嵌入墙内预留三根六类网线，</w:t>
      </w:r>
      <w:r>
        <w:rPr>
          <w:rFonts w:hint="eastAsia" w:ascii="仿宋" w:hAnsi="仿宋" w:eastAsia="仿宋" w:cs="仿宋"/>
          <w:sz w:val="30"/>
          <w:szCs w:val="30"/>
          <w:lang w:eastAsia="zh-CN"/>
        </w:rPr>
        <w:t>预埋</w:t>
      </w:r>
      <w:r>
        <w:rPr>
          <w:rFonts w:hint="eastAsia" w:ascii="仿宋" w:hAnsi="仿宋" w:eastAsia="仿宋" w:cs="仿宋"/>
          <w:sz w:val="30"/>
          <w:szCs w:val="30"/>
          <w:lang w:val="en-US" w:eastAsia="zh-CN"/>
        </w:rPr>
        <w:t>4m2阻燃电源线三相连接。</w:t>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6097905" cy="3427730"/>
            <wp:effectExtent l="0" t="0" r="1714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97905" cy="34277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6097905" cy="3427730"/>
            <wp:effectExtent l="0" t="0" r="1714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097905" cy="34277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p>
    <w:p>
      <w:pPr>
        <w:pageBreakBefore w:val="0"/>
        <w:kinsoku/>
        <w:wordWrap/>
        <w:overflowPunct/>
        <w:topLinePunct w:val="0"/>
        <w:autoSpaceDE/>
        <w:autoSpaceDN/>
        <w:bidi w:val="0"/>
        <w:adjustRightInd/>
        <w:snapToGrid/>
        <w:spacing w:line="360" w:lineRule="auto"/>
        <w:ind w:left="0" w:leftChars="0" w:firstLine="600" w:firstLineChars="200"/>
        <w:rPr>
          <w:rFonts w:hint="eastAsia" w:ascii="仿宋" w:hAnsi="仿宋" w:eastAsia="仿宋" w:cs="仿宋"/>
          <w:sz w:val="30"/>
          <w:szCs w:val="30"/>
        </w:rPr>
      </w:pPr>
    </w:p>
    <w:p>
      <w:pPr>
        <w:pStyle w:val="4"/>
        <w:bidi w:val="0"/>
        <w:ind w:left="0" w:leftChars="0" w:firstLine="0" w:firstLineChars="0"/>
        <w:rPr>
          <w:rFonts w:hint="eastAsia"/>
          <w:lang w:val="en-US" w:eastAsia="zh-CN"/>
        </w:rPr>
      </w:pPr>
      <w:bookmarkStart w:id="14" w:name="_Toc20387"/>
      <w:r>
        <w:rPr>
          <w:rFonts w:hint="eastAsia"/>
          <w:lang w:val="en-US" w:eastAsia="zh-CN"/>
        </w:rPr>
        <w:t>广告牌制作图</w:t>
      </w:r>
      <w:bookmarkEnd w:id="14"/>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default" w:eastAsia="宋体"/>
          <w:sz w:val="30"/>
          <w:szCs w:val="30"/>
          <w:lang w:val="en-US" w:eastAsia="zh-CN"/>
        </w:rPr>
      </w:pPr>
      <w:r>
        <w:rPr>
          <w:rFonts w:hint="eastAsia"/>
          <w:sz w:val="30"/>
          <w:szCs w:val="30"/>
          <w:lang w:val="en-US" w:eastAsia="zh-CN"/>
        </w:rPr>
        <w:t>详CAD图纸</w:t>
      </w:r>
    </w:p>
    <w:p>
      <w:pPr>
        <w:pageBreakBefore w:val="0"/>
        <w:kinsoku/>
        <w:wordWrap/>
        <w:overflowPunct/>
        <w:topLinePunct w:val="0"/>
        <w:autoSpaceDE/>
        <w:autoSpaceDN/>
        <w:bidi w:val="0"/>
        <w:adjustRightInd/>
        <w:snapToGrid/>
        <w:spacing w:line="360" w:lineRule="auto"/>
        <w:ind w:left="0" w:leftChars="0" w:firstLine="420" w:firstLineChars="200"/>
        <w:rPr>
          <w:rFonts w:hint="eastAsia"/>
          <w:lang w:val="en-US" w:eastAsia="zh-CN"/>
        </w:rPr>
        <w:sectPr>
          <w:footerReference r:id="rId4" w:type="default"/>
          <w:pgSz w:w="11850" w:h="16783"/>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4"/>
        <w:bidi w:val="0"/>
        <w:ind w:left="0" w:leftChars="0" w:firstLine="0" w:firstLineChars="0"/>
        <w:rPr>
          <w:rFonts w:hint="default"/>
          <w:lang w:val="en-US" w:eastAsia="zh-CN"/>
        </w:rPr>
      </w:pPr>
      <w:bookmarkStart w:id="15" w:name="_Toc4397"/>
      <w:r>
        <w:rPr>
          <w:rFonts w:hint="eastAsia"/>
          <w:lang w:val="en-US" w:eastAsia="zh-CN"/>
        </w:rPr>
        <w:t>广告位汇总清单</w:t>
      </w:r>
      <w:bookmarkEnd w:id="15"/>
    </w:p>
    <w:tbl>
      <w:tblPr>
        <w:tblStyle w:val="18"/>
        <w:tblW w:w="136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80"/>
        <w:gridCol w:w="1675"/>
        <w:gridCol w:w="2000"/>
        <w:gridCol w:w="720"/>
        <w:gridCol w:w="700"/>
        <w:gridCol w:w="2920"/>
        <w:gridCol w:w="5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0" w:hRule="atLeast"/>
          <w:jc w:val="center"/>
        </w:trPr>
        <w:tc>
          <w:tcPr>
            <w:tcW w:w="5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序号</w:t>
            </w:r>
          </w:p>
        </w:tc>
        <w:tc>
          <w:tcPr>
            <w:tcW w:w="16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项目</w:t>
            </w:r>
          </w:p>
        </w:tc>
        <w:tc>
          <w:tcPr>
            <w:tcW w:w="20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材质/规格</w:t>
            </w:r>
          </w:p>
        </w:tc>
        <w:tc>
          <w:tcPr>
            <w:tcW w:w="7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数量</w:t>
            </w:r>
          </w:p>
        </w:tc>
        <w:tc>
          <w:tcPr>
            <w:tcW w:w="7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单位</w:t>
            </w:r>
          </w:p>
        </w:tc>
        <w:tc>
          <w:tcPr>
            <w:tcW w:w="29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图例</w:t>
            </w:r>
          </w:p>
        </w:tc>
        <w:tc>
          <w:tcPr>
            <w:tcW w:w="5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主要技术要求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1" w:hRule="atLeast"/>
          <w:jc w:val="center"/>
        </w:trPr>
        <w:tc>
          <w:tcPr>
            <w:tcW w:w="5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1</w:t>
            </w:r>
          </w:p>
        </w:tc>
        <w:tc>
          <w:tcPr>
            <w:tcW w:w="16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值机大厅广告机</w:t>
            </w:r>
          </w:p>
        </w:tc>
        <w:tc>
          <w:tcPr>
            <w:tcW w:w="20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约宽800mm*高1900mm*厚40mm（含底座）</w:t>
            </w:r>
          </w:p>
        </w:tc>
        <w:tc>
          <w:tcPr>
            <w:tcW w:w="7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15</w:t>
            </w:r>
          </w:p>
        </w:tc>
        <w:tc>
          <w:tcPr>
            <w:tcW w:w="7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套</w:t>
            </w:r>
          </w:p>
        </w:tc>
        <w:tc>
          <w:tcPr>
            <w:tcW w:w="29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bdr w:val="single" w:color="000000" w:sz="4" w:space="0"/>
                <w:lang w:val="en-US" w:eastAsia="zh-CN" w:bidi="ar"/>
              </w:rPr>
              <w:drawing>
                <wp:inline distT="0" distB="0" distL="114300" distR="114300">
                  <wp:extent cx="1573530" cy="934720"/>
                  <wp:effectExtent l="0" t="0" r="11430" b="10160"/>
                  <wp:docPr id="56" name="图片_8"/>
                  <wp:cNvGraphicFramePr/>
                  <a:graphic xmlns:a="http://schemas.openxmlformats.org/drawingml/2006/main">
                    <a:graphicData uri="http://schemas.openxmlformats.org/drawingml/2006/picture">
                      <pic:pic xmlns:pic="http://schemas.openxmlformats.org/drawingml/2006/picture">
                        <pic:nvPicPr>
                          <pic:cNvPr id="56" name="图片_8"/>
                          <pic:cNvPicPr/>
                        </pic:nvPicPr>
                        <pic:blipFill>
                          <a:blip r:embed="rId24"/>
                          <a:stretch>
                            <a:fillRect/>
                          </a:stretch>
                        </pic:blipFill>
                        <pic:spPr>
                          <a:xfrm>
                            <a:off x="0" y="0"/>
                            <a:ext cx="1573530" cy="934720"/>
                          </a:xfrm>
                          <a:prstGeom prst="rect">
                            <a:avLst/>
                          </a:prstGeom>
                          <a:noFill/>
                          <a:ln>
                            <a:noFill/>
                          </a:ln>
                        </pic:spPr>
                      </pic:pic>
                    </a:graphicData>
                  </a:graphic>
                </wp:inline>
              </w:drawing>
            </w:r>
          </w:p>
        </w:tc>
        <w:tc>
          <w:tcPr>
            <w:tcW w:w="5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55寸液晶屏，</w:t>
            </w:r>
          </w:p>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立式广告机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2</w:t>
            </w:r>
          </w:p>
        </w:tc>
        <w:tc>
          <w:tcPr>
            <w:tcW w:w="16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LED显示屏</w:t>
            </w:r>
          </w:p>
        </w:tc>
        <w:tc>
          <w:tcPr>
            <w:tcW w:w="20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4.5mx3m</w:t>
            </w:r>
          </w:p>
          <w:p>
            <w:pPr>
              <w:keepNext w:val="0"/>
              <w:keepLines w:val="0"/>
              <w:widowControl/>
              <w:suppressLineNumbers w:val="0"/>
              <w:jc w:val="left"/>
              <w:textAlignment w:val="center"/>
              <w:rPr>
                <w:rFonts w:hint="default"/>
                <w:lang w:val="en-US"/>
              </w:rPr>
            </w:pPr>
            <w:r>
              <w:rPr>
                <w:rFonts w:hint="eastAsia" w:ascii="仿宋" w:hAnsi="仿宋" w:eastAsia="仿宋" w:cs="仿宋"/>
                <w:i w:val="0"/>
                <w:color w:val="000000"/>
                <w:kern w:val="0"/>
                <w:sz w:val="26"/>
                <w:szCs w:val="26"/>
                <w:u w:val="none"/>
                <w:lang w:val="en-US" w:eastAsia="zh-CN" w:bidi="ar"/>
              </w:rPr>
              <w:t>(净屏尺寸：4.48m长*2.88高)</w:t>
            </w:r>
          </w:p>
        </w:tc>
        <w:tc>
          <w:tcPr>
            <w:tcW w:w="7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2</w:t>
            </w:r>
          </w:p>
        </w:tc>
        <w:tc>
          <w:tcPr>
            <w:tcW w:w="7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块</w:t>
            </w:r>
          </w:p>
        </w:tc>
        <w:tc>
          <w:tcPr>
            <w:tcW w:w="29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sz w:val="26"/>
                <w:szCs w:val="26"/>
              </w:rPr>
              <w:drawing>
                <wp:inline distT="0" distB="0" distL="114300" distR="114300">
                  <wp:extent cx="1614170" cy="944245"/>
                  <wp:effectExtent l="0" t="0" r="1270" b="635"/>
                  <wp:docPr id="58" name="图片_4"/>
                  <wp:cNvGraphicFramePr/>
                  <a:graphic xmlns:a="http://schemas.openxmlformats.org/drawingml/2006/main">
                    <a:graphicData uri="http://schemas.openxmlformats.org/drawingml/2006/picture">
                      <pic:pic xmlns:pic="http://schemas.openxmlformats.org/drawingml/2006/picture">
                        <pic:nvPicPr>
                          <pic:cNvPr id="58" name="图片_4"/>
                          <pic:cNvPicPr/>
                        </pic:nvPicPr>
                        <pic:blipFill>
                          <a:blip r:embed="rId25"/>
                          <a:stretch>
                            <a:fillRect/>
                          </a:stretch>
                        </pic:blipFill>
                        <pic:spPr>
                          <a:xfrm>
                            <a:off x="5602605" y="3966845"/>
                            <a:ext cx="1614170" cy="944245"/>
                          </a:xfrm>
                          <a:prstGeom prst="rect">
                            <a:avLst/>
                          </a:prstGeom>
                          <a:noFill/>
                          <a:ln>
                            <a:noFill/>
                          </a:ln>
                        </pic:spPr>
                      </pic:pic>
                    </a:graphicData>
                  </a:graphic>
                </wp:inline>
              </w:drawing>
            </w:r>
          </w:p>
        </w:tc>
        <w:tc>
          <w:tcPr>
            <w:tcW w:w="5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P2.5表贴式LED显示屏，国星芯片，高刷新芯片北方集创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jc w:val="center"/>
        </w:trPr>
        <w:tc>
          <w:tcPr>
            <w:tcW w:w="5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3</w:t>
            </w:r>
          </w:p>
        </w:tc>
        <w:tc>
          <w:tcPr>
            <w:tcW w:w="16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值机大厅二楼灯箱</w:t>
            </w:r>
          </w:p>
        </w:tc>
        <w:tc>
          <w:tcPr>
            <w:tcW w:w="20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10mx5m</w:t>
            </w:r>
          </w:p>
        </w:tc>
        <w:tc>
          <w:tcPr>
            <w:tcW w:w="7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4</w:t>
            </w:r>
          </w:p>
        </w:tc>
        <w:tc>
          <w:tcPr>
            <w:tcW w:w="7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块</w:t>
            </w:r>
          </w:p>
        </w:tc>
        <w:tc>
          <w:tcPr>
            <w:tcW w:w="29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bdr w:val="single" w:color="000000" w:sz="4" w:space="0"/>
                <w:lang w:val="en-US" w:eastAsia="zh-CN" w:bidi="ar"/>
              </w:rPr>
              <w:drawing>
                <wp:inline distT="0" distB="0" distL="114300" distR="114300">
                  <wp:extent cx="1582420" cy="1049020"/>
                  <wp:effectExtent l="0" t="0" r="2540" b="2540"/>
                  <wp:docPr id="59" name="图片_2"/>
                  <wp:cNvGraphicFramePr/>
                  <a:graphic xmlns:a="http://schemas.openxmlformats.org/drawingml/2006/main">
                    <a:graphicData uri="http://schemas.openxmlformats.org/drawingml/2006/picture">
                      <pic:pic xmlns:pic="http://schemas.openxmlformats.org/drawingml/2006/picture">
                        <pic:nvPicPr>
                          <pic:cNvPr id="59" name="图片_2"/>
                          <pic:cNvPicPr/>
                        </pic:nvPicPr>
                        <pic:blipFill>
                          <a:blip r:embed="rId26"/>
                          <a:stretch>
                            <a:fillRect/>
                          </a:stretch>
                        </pic:blipFill>
                        <pic:spPr>
                          <a:xfrm>
                            <a:off x="0" y="0"/>
                            <a:ext cx="1582420" cy="1049020"/>
                          </a:xfrm>
                          <a:prstGeom prst="rect">
                            <a:avLst/>
                          </a:prstGeom>
                          <a:noFill/>
                          <a:ln>
                            <a:noFill/>
                          </a:ln>
                        </pic:spPr>
                      </pic:pic>
                    </a:graphicData>
                  </a:graphic>
                </wp:inline>
              </w:drawing>
            </w:r>
          </w:p>
        </w:tc>
        <w:tc>
          <w:tcPr>
            <w:tcW w:w="5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户内灯箱，灯箱外壳烤漆，刀刮灯箱布，(Cree（科锐）、Lumileds（流明）、Nichia（日亚）、Osram（欧司朗）)芯片LED透镜灯条，不低于3000lux。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5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4</w:t>
            </w:r>
          </w:p>
        </w:tc>
        <w:tc>
          <w:tcPr>
            <w:tcW w:w="16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候机大厅卡布灯箱</w:t>
            </w:r>
          </w:p>
        </w:tc>
        <w:tc>
          <w:tcPr>
            <w:tcW w:w="2000"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6.6mX3mx1块    5.7mX3mx1块</w:t>
            </w:r>
          </w:p>
        </w:tc>
        <w:tc>
          <w:tcPr>
            <w:tcW w:w="7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2</w:t>
            </w:r>
          </w:p>
        </w:tc>
        <w:tc>
          <w:tcPr>
            <w:tcW w:w="7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块</w:t>
            </w:r>
          </w:p>
        </w:tc>
        <w:tc>
          <w:tcPr>
            <w:tcW w:w="2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bdr w:val="single" w:color="000000" w:sz="4" w:space="0"/>
                <w:lang w:val="en-US" w:eastAsia="zh-CN" w:bidi="ar"/>
              </w:rPr>
              <w:drawing>
                <wp:inline distT="0" distB="0" distL="114300" distR="114300">
                  <wp:extent cx="1576705" cy="897890"/>
                  <wp:effectExtent l="0" t="0" r="8255" b="1270"/>
                  <wp:docPr id="60" name="图片_9"/>
                  <wp:cNvGraphicFramePr/>
                  <a:graphic xmlns:a="http://schemas.openxmlformats.org/drawingml/2006/main">
                    <a:graphicData uri="http://schemas.openxmlformats.org/drawingml/2006/picture">
                      <pic:pic xmlns:pic="http://schemas.openxmlformats.org/drawingml/2006/picture">
                        <pic:nvPicPr>
                          <pic:cNvPr id="60" name="图片_9"/>
                          <pic:cNvPicPr/>
                        </pic:nvPicPr>
                        <pic:blipFill>
                          <a:blip r:embed="rId27"/>
                          <a:stretch>
                            <a:fillRect/>
                          </a:stretch>
                        </pic:blipFill>
                        <pic:spPr>
                          <a:xfrm>
                            <a:off x="0" y="0"/>
                            <a:ext cx="1576705" cy="897890"/>
                          </a:xfrm>
                          <a:prstGeom prst="rect">
                            <a:avLst/>
                          </a:prstGeom>
                          <a:noFill/>
                          <a:ln>
                            <a:noFill/>
                          </a:ln>
                        </pic:spPr>
                      </pic:pic>
                    </a:graphicData>
                  </a:graphic>
                </wp:inline>
              </w:drawing>
            </w:r>
          </w:p>
        </w:tc>
        <w:tc>
          <w:tcPr>
            <w:tcW w:w="5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户内灯箱，12cm高铝型材边框，软膜uV打印灯箱布，(Cree（科锐）、Lumileds（流明）、Nichia（日亚）、Osram（欧司朗）)芯片LED透镜灯条，不低于3000lux。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5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5</w:t>
            </w:r>
          </w:p>
        </w:tc>
        <w:tc>
          <w:tcPr>
            <w:tcW w:w="16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行李提取厅卡布灯箱</w:t>
            </w:r>
          </w:p>
        </w:tc>
        <w:tc>
          <w:tcPr>
            <w:tcW w:w="20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5.73mX2.55m</w:t>
            </w:r>
          </w:p>
          <w:p>
            <w:pPr>
              <w:keepNext w:val="0"/>
              <w:keepLines w:val="0"/>
              <w:widowControl/>
              <w:suppressLineNumbers w:val="0"/>
              <w:jc w:val="left"/>
              <w:textAlignment w:val="center"/>
              <w:rPr>
                <w:rFonts w:hint="eastAsia"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6mx2.55m</w:t>
            </w:r>
          </w:p>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lang w:val="en-US" w:eastAsia="zh-CN" w:bidi="ar"/>
              </w:rPr>
              <w:t>6mx2.55m</w:t>
            </w:r>
          </w:p>
        </w:tc>
        <w:tc>
          <w:tcPr>
            <w:tcW w:w="7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6"/>
                <w:szCs w:val="26"/>
                <w:u w:val="none"/>
                <w:lang w:val="en-US" w:eastAsia="zh-CN"/>
              </w:rPr>
            </w:pPr>
            <w:r>
              <w:rPr>
                <w:rFonts w:hint="eastAsia" w:ascii="仿宋" w:hAnsi="仿宋" w:eastAsia="仿宋" w:cs="仿宋"/>
                <w:i w:val="0"/>
                <w:color w:val="000000"/>
                <w:sz w:val="26"/>
                <w:szCs w:val="26"/>
                <w:u w:val="none"/>
                <w:lang w:val="en-US" w:eastAsia="zh-CN"/>
              </w:rPr>
              <w:t>3</w:t>
            </w:r>
          </w:p>
        </w:tc>
        <w:tc>
          <w:tcPr>
            <w:tcW w:w="7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333333"/>
                <w:sz w:val="26"/>
                <w:szCs w:val="26"/>
                <w:u w:val="none"/>
              </w:rPr>
            </w:pPr>
            <w:r>
              <w:rPr>
                <w:rFonts w:hint="eastAsia" w:ascii="仿宋" w:hAnsi="仿宋" w:eastAsia="仿宋" w:cs="仿宋"/>
                <w:i w:val="0"/>
                <w:color w:val="333333"/>
                <w:kern w:val="0"/>
                <w:sz w:val="26"/>
                <w:szCs w:val="26"/>
                <w:u w:val="none"/>
                <w:lang w:val="en-US" w:eastAsia="zh-CN" w:bidi="ar"/>
              </w:rPr>
              <w:t>块</w:t>
            </w:r>
          </w:p>
        </w:tc>
        <w:tc>
          <w:tcPr>
            <w:tcW w:w="2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6"/>
                <w:szCs w:val="26"/>
                <w:u w:val="none"/>
              </w:rPr>
            </w:pPr>
            <w:r>
              <w:rPr>
                <w:rFonts w:hint="eastAsia" w:ascii="仿宋" w:hAnsi="仿宋" w:eastAsia="仿宋" w:cs="仿宋"/>
                <w:i w:val="0"/>
                <w:color w:val="000000"/>
                <w:kern w:val="0"/>
                <w:sz w:val="26"/>
                <w:szCs w:val="26"/>
                <w:u w:val="none"/>
                <w:bdr w:val="single" w:color="000000" w:sz="4" w:space="0"/>
                <w:lang w:val="en-US" w:eastAsia="zh-CN" w:bidi="ar"/>
              </w:rPr>
              <w:drawing>
                <wp:inline distT="0" distB="0" distL="114300" distR="114300">
                  <wp:extent cx="1593215" cy="1075055"/>
                  <wp:effectExtent l="0" t="0" r="6985" b="10795"/>
                  <wp:docPr id="61" name="图片_10"/>
                  <wp:cNvGraphicFramePr/>
                  <a:graphic xmlns:a="http://schemas.openxmlformats.org/drawingml/2006/main">
                    <a:graphicData uri="http://schemas.openxmlformats.org/drawingml/2006/picture">
                      <pic:pic xmlns:pic="http://schemas.openxmlformats.org/drawingml/2006/picture">
                        <pic:nvPicPr>
                          <pic:cNvPr id="61" name="图片_10"/>
                          <pic:cNvPicPr/>
                        </pic:nvPicPr>
                        <pic:blipFill>
                          <a:blip r:embed="rId28"/>
                          <a:stretch>
                            <a:fillRect/>
                          </a:stretch>
                        </pic:blipFill>
                        <pic:spPr>
                          <a:xfrm>
                            <a:off x="0" y="0"/>
                            <a:ext cx="1593215" cy="1075055"/>
                          </a:xfrm>
                          <a:prstGeom prst="rect">
                            <a:avLst/>
                          </a:prstGeom>
                          <a:noFill/>
                          <a:ln>
                            <a:noFill/>
                          </a:ln>
                        </pic:spPr>
                      </pic:pic>
                    </a:graphicData>
                  </a:graphic>
                </wp:inline>
              </w:drawing>
            </w:r>
          </w:p>
        </w:tc>
        <w:tc>
          <w:tcPr>
            <w:tcW w:w="5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6"/>
                <w:szCs w:val="26"/>
                <w:u w:val="none"/>
                <w:lang w:val="en-US" w:eastAsia="zh-CN" w:bidi="ar"/>
              </w:rPr>
            </w:pPr>
            <w:r>
              <w:rPr>
                <w:rFonts w:hint="eastAsia" w:ascii="仿宋" w:hAnsi="仿宋" w:eastAsia="仿宋" w:cs="仿宋"/>
                <w:i w:val="0"/>
                <w:color w:val="000000"/>
                <w:kern w:val="0"/>
                <w:sz w:val="26"/>
                <w:szCs w:val="26"/>
                <w:u w:val="none"/>
                <w:lang w:val="en-US" w:eastAsia="zh-CN" w:bidi="ar"/>
              </w:rPr>
              <w:t>户内灯箱，12cm高铝型材边框，软膜uV打印灯箱布，(Cree（科锐）、Lumileds（流明）、Nichia（日亚）、Osram（欧司朗）)芯片LED透镜灯条，不低于3000lux。</w:t>
            </w:r>
          </w:p>
        </w:tc>
      </w:tr>
    </w:tbl>
    <w:p>
      <w:pPr>
        <w:rPr>
          <w:rFonts w:hint="default"/>
          <w:lang w:val="en-US" w:eastAsia="zh-CN"/>
        </w:rPr>
      </w:pPr>
    </w:p>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E69DDE"/>
    <w:multiLevelType w:val="singleLevel"/>
    <w:tmpl w:val="85E69DDE"/>
    <w:lvl w:ilvl="0" w:tentative="0">
      <w:start w:val="1"/>
      <w:numFmt w:val="decimal"/>
      <w:lvlText w:val="%1."/>
      <w:lvlJc w:val="left"/>
      <w:pPr>
        <w:ind w:left="425" w:hanging="425"/>
      </w:pPr>
      <w:rPr>
        <w:rFonts w:hint="default"/>
      </w:rPr>
    </w:lvl>
  </w:abstractNum>
  <w:abstractNum w:abstractNumId="1">
    <w:nsid w:val="9DA78D9B"/>
    <w:multiLevelType w:val="multilevel"/>
    <w:tmpl w:val="9DA78D9B"/>
    <w:lvl w:ilvl="0" w:tentative="0">
      <w:start w:val="1"/>
      <w:numFmt w:val="chineseCounting"/>
      <w:pStyle w:val="4"/>
      <w:suff w:val="nothing"/>
      <w:lvlText w:val="%1、"/>
      <w:lvlJc w:val="left"/>
      <w:pPr>
        <w:ind w:left="0" w:firstLine="0"/>
      </w:pPr>
      <w:rPr>
        <w:rFonts w:hint="eastAsia"/>
      </w:rPr>
    </w:lvl>
    <w:lvl w:ilvl="1" w:tentative="0">
      <w:start w:val="1"/>
      <w:numFmt w:val="chineseCounting"/>
      <w:pStyle w:val="5"/>
      <w:suff w:val="nothing"/>
      <w:lvlText w:val="（%2）"/>
      <w:lvlJc w:val="left"/>
      <w:pPr>
        <w:ind w:left="0" w:firstLine="0"/>
      </w:pPr>
      <w:rPr>
        <w:rFonts w:hint="eastAsia"/>
      </w:rPr>
    </w:lvl>
    <w:lvl w:ilvl="2" w:tentative="0">
      <w:start w:val="1"/>
      <w:numFmt w:val="decimal"/>
      <w:pStyle w:val="6"/>
      <w:suff w:val="nothing"/>
      <w:lvlText w:val="%3．"/>
      <w:lvlJc w:val="left"/>
      <w:pPr>
        <w:ind w:left="0" w:firstLine="400"/>
      </w:pPr>
      <w:rPr>
        <w:rFonts w:hint="eastAsia"/>
      </w:rPr>
    </w:lvl>
    <w:lvl w:ilvl="3" w:tentative="0">
      <w:start w:val="1"/>
      <w:numFmt w:val="decimal"/>
      <w:pStyle w:val="7"/>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rFonts w:hint="eastAsia"/>
      </w:rPr>
    </w:lvl>
    <w:lvl w:ilvl="5" w:tentative="0">
      <w:start w:val="1"/>
      <w:numFmt w:val="decimal"/>
      <w:pStyle w:val="9"/>
      <w:suff w:val="nothing"/>
      <w:lvlText w:val="%6）"/>
      <w:lvlJc w:val="left"/>
      <w:pPr>
        <w:ind w:left="0" w:firstLine="402"/>
      </w:pPr>
      <w:rPr>
        <w:rFonts w:hint="eastAsia"/>
      </w:rPr>
    </w:lvl>
    <w:lvl w:ilvl="6" w:tentative="0">
      <w:start w:val="1"/>
      <w:numFmt w:val="lowerLetter"/>
      <w:pStyle w:val="10"/>
      <w:suff w:val="nothing"/>
      <w:lvlText w:val="%7．"/>
      <w:lvlJc w:val="left"/>
      <w:pPr>
        <w:ind w:left="0" w:firstLine="402"/>
      </w:pPr>
      <w:rPr>
        <w:rFonts w:hint="eastAsia"/>
      </w:rPr>
    </w:lvl>
    <w:lvl w:ilvl="7" w:tentative="0">
      <w:start w:val="1"/>
      <w:numFmt w:val="lowerLetter"/>
      <w:pStyle w:val="11"/>
      <w:suff w:val="nothing"/>
      <w:lvlText w:val="%8）"/>
      <w:lvlJc w:val="left"/>
      <w:pPr>
        <w:ind w:left="0" w:firstLine="402"/>
      </w:pPr>
      <w:rPr>
        <w:rFonts w:hint="eastAsia"/>
      </w:rPr>
    </w:lvl>
    <w:lvl w:ilvl="8" w:tentative="0">
      <w:start w:val="1"/>
      <w:numFmt w:val="lowerRoman"/>
      <w:pStyle w:val="12"/>
      <w:suff w:val="nothing"/>
      <w:lvlText w:val="%9 "/>
      <w:lvlJc w:val="left"/>
      <w:pPr>
        <w:ind w:left="0" w:firstLine="402"/>
      </w:pPr>
      <w:rPr>
        <w:rFonts w:hint="eastAsia"/>
      </w:rPr>
    </w:lvl>
  </w:abstractNum>
  <w:abstractNum w:abstractNumId="2">
    <w:nsid w:val="9E2A8F8E"/>
    <w:multiLevelType w:val="singleLevel"/>
    <w:tmpl w:val="9E2A8F8E"/>
    <w:lvl w:ilvl="0" w:tentative="0">
      <w:start w:val="1"/>
      <w:numFmt w:val="decimal"/>
      <w:lvlText w:val="%1."/>
      <w:lvlJc w:val="left"/>
      <w:pPr>
        <w:ind w:left="425" w:hanging="425"/>
      </w:pPr>
      <w:rPr>
        <w:rFonts w:hint="default"/>
      </w:rPr>
    </w:lvl>
  </w:abstractNum>
  <w:abstractNum w:abstractNumId="3">
    <w:nsid w:val="A7F4A53A"/>
    <w:multiLevelType w:val="singleLevel"/>
    <w:tmpl w:val="A7F4A53A"/>
    <w:lvl w:ilvl="0" w:tentative="0">
      <w:start w:val="1"/>
      <w:numFmt w:val="decimal"/>
      <w:lvlText w:val="%1."/>
      <w:lvlJc w:val="left"/>
      <w:pPr>
        <w:ind w:left="425" w:hanging="425"/>
      </w:pPr>
      <w:rPr>
        <w:rFonts w:hint="default"/>
      </w:rPr>
    </w:lvl>
  </w:abstractNum>
  <w:abstractNum w:abstractNumId="4">
    <w:nsid w:val="AF1EEE5E"/>
    <w:multiLevelType w:val="singleLevel"/>
    <w:tmpl w:val="AF1EEE5E"/>
    <w:lvl w:ilvl="0" w:tentative="0">
      <w:start w:val="1"/>
      <w:numFmt w:val="decimal"/>
      <w:lvlText w:val="%1)"/>
      <w:lvlJc w:val="left"/>
      <w:pPr>
        <w:ind w:left="425" w:hanging="425"/>
      </w:pPr>
      <w:rPr>
        <w:rFonts w:hint="default"/>
      </w:rPr>
    </w:lvl>
  </w:abstractNum>
  <w:abstractNum w:abstractNumId="5">
    <w:nsid w:val="AF3AFDD4"/>
    <w:multiLevelType w:val="singleLevel"/>
    <w:tmpl w:val="AF3AFDD4"/>
    <w:lvl w:ilvl="0" w:tentative="0">
      <w:start w:val="1"/>
      <w:numFmt w:val="decimal"/>
      <w:lvlText w:val="%1."/>
      <w:lvlJc w:val="left"/>
      <w:pPr>
        <w:ind w:left="425" w:hanging="425"/>
      </w:pPr>
      <w:rPr>
        <w:rFonts w:hint="default"/>
      </w:rPr>
    </w:lvl>
  </w:abstractNum>
  <w:abstractNum w:abstractNumId="6">
    <w:nsid w:val="C78EDF14"/>
    <w:multiLevelType w:val="singleLevel"/>
    <w:tmpl w:val="C78EDF14"/>
    <w:lvl w:ilvl="0" w:tentative="0">
      <w:start w:val="1"/>
      <w:numFmt w:val="decimal"/>
      <w:lvlText w:val="%1."/>
      <w:lvlJc w:val="left"/>
      <w:pPr>
        <w:ind w:left="425" w:hanging="425"/>
      </w:pPr>
      <w:rPr>
        <w:rFonts w:hint="default"/>
      </w:rPr>
    </w:lvl>
  </w:abstractNum>
  <w:abstractNum w:abstractNumId="7">
    <w:nsid w:val="DB02C258"/>
    <w:multiLevelType w:val="singleLevel"/>
    <w:tmpl w:val="DB02C258"/>
    <w:lvl w:ilvl="0" w:tentative="0">
      <w:start w:val="1"/>
      <w:numFmt w:val="decimal"/>
      <w:lvlText w:val="%1."/>
      <w:lvlJc w:val="left"/>
      <w:pPr>
        <w:ind w:left="425" w:hanging="425"/>
      </w:pPr>
      <w:rPr>
        <w:rFonts w:hint="default"/>
      </w:rPr>
    </w:lvl>
  </w:abstractNum>
  <w:abstractNum w:abstractNumId="8">
    <w:nsid w:val="DB40ED8A"/>
    <w:multiLevelType w:val="singleLevel"/>
    <w:tmpl w:val="DB40ED8A"/>
    <w:lvl w:ilvl="0" w:tentative="0">
      <w:start w:val="1"/>
      <w:numFmt w:val="decimal"/>
      <w:lvlText w:val="%1."/>
      <w:lvlJc w:val="left"/>
      <w:pPr>
        <w:ind w:left="425" w:hanging="425"/>
      </w:pPr>
      <w:rPr>
        <w:rFonts w:hint="default"/>
      </w:rPr>
    </w:lvl>
  </w:abstractNum>
  <w:abstractNum w:abstractNumId="9">
    <w:nsid w:val="E485B5CF"/>
    <w:multiLevelType w:val="multilevel"/>
    <w:tmpl w:val="E485B5CF"/>
    <w:lvl w:ilvl="0" w:tentative="0">
      <w:start w:val="1"/>
      <w:numFmt w:val="decimal"/>
      <w:lvlText w:val="（%1）"/>
      <w:lvlJc w:val="left"/>
      <w:pPr>
        <w:tabs>
          <w:tab w:val="left" w:pos="945"/>
        </w:tabs>
        <w:ind w:left="945" w:hanging="420"/>
      </w:pPr>
      <w:rPr>
        <w:rFonts w:hint="eastAsia"/>
      </w:rPr>
    </w:lvl>
    <w:lvl w:ilvl="1" w:tentative="0">
      <w:start w:val="1"/>
      <w:numFmt w:val="lowerLetter"/>
      <w:lvlText w:val="%2)"/>
      <w:lvlJc w:val="left"/>
      <w:pPr>
        <w:tabs>
          <w:tab w:val="left" w:pos="1260"/>
        </w:tabs>
        <w:ind w:left="1260" w:hanging="420"/>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F9E54A42"/>
    <w:multiLevelType w:val="singleLevel"/>
    <w:tmpl w:val="F9E54A42"/>
    <w:lvl w:ilvl="0" w:tentative="0">
      <w:start w:val="1"/>
      <w:numFmt w:val="decimal"/>
      <w:lvlText w:val="%1."/>
      <w:lvlJc w:val="left"/>
      <w:pPr>
        <w:ind w:left="425" w:hanging="425"/>
      </w:pPr>
      <w:rPr>
        <w:rFonts w:hint="default"/>
      </w:rPr>
    </w:lvl>
  </w:abstractNum>
  <w:abstractNum w:abstractNumId="11">
    <w:nsid w:val="00000013"/>
    <w:multiLevelType w:val="multilevel"/>
    <w:tmpl w:val="00000013"/>
    <w:lvl w:ilvl="0" w:tentative="0">
      <w:start w:val="3"/>
      <w:numFmt w:val="decimal"/>
      <w:lvlText w:val="%1"/>
      <w:lvlJc w:val="left"/>
      <w:pPr>
        <w:tabs>
          <w:tab w:val="left" w:pos="480"/>
        </w:tabs>
        <w:ind w:left="480" w:hanging="480"/>
      </w:pPr>
      <w:rPr>
        <w:rFonts w:hint="eastAsia"/>
      </w:rPr>
    </w:lvl>
    <w:lvl w:ilvl="1" w:tentative="0">
      <w:start w:val="1"/>
      <w:numFmt w:val="decimal"/>
      <w:lvlText w:val="%1.%2"/>
      <w:lvlJc w:val="left"/>
      <w:pPr>
        <w:tabs>
          <w:tab w:val="left" w:pos="480"/>
        </w:tabs>
        <w:ind w:left="480" w:hanging="48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720"/>
        </w:tabs>
        <w:ind w:left="720" w:hanging="72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080"/>
        </w:tabs>
        <w:ind w:left="1080" w:hanging="108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800"/>
        </w:tabs>
        <w:ind w:left="1800" w:hanging="1800"/>
      </w:pPr>
      <w:rPr>
        <w:rFonts w:hint="eastAsia"/>
      </w:rPr>
    </w:lvl>
  </w:abstractNum>
  <w:abstractNum w:abstractNumId="12">
    <w:nsid w:val="00000015"/>
    <w:multiLevelType w:val="multilevel"/>
    <w:tmpl w:val="00000015"/>
    <w:lvl w:ilvl="0" w:tentative="0">
      <w:start w:val="1"/>
      <w:numFmt w:val="decimal"/>
      <w:lvlText w:val="（%1）"/>
      <w:lvlJc w:val="left"/>
      <w:pPr>
        <w:tabs>
          <w:tab w:val="left" w:pos="945"/>
        </w:tabs>
        <w:ind w:left="945" w:hanging="420"/>
      </w:pPr>
      <w:rPr>
        <w:rFonts w:hint="eastAsia"/>
      </w:rPr>
    </w:lvl>
    <w:lvl w:ilvl="1" w:tentative="0">
      <w:start w:val="1"/>
      <w:numFmt w:val="lowerLetter"/>
      <w:lvlText w:val="%2)"/>
      <w:lvlJc w:val="left"/>
      <w:pPr>
        <w:tabs>
          <w:tab w:val="left" w:pos="1260"/>
        </w:tabs>
        <w:ind w:left="1260" w:hanging="420"/>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
    <w:nsid w:val="00000017"/>
    <w:multiLevelType w:val="multilevel"/>
    <w:tmpl w:val="00000017"/>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A218D68"/>
    <w:multiLevelType w:val="singleLevel"/>
    <w:tmpl w:val="1A218D68"/>
    <w:lvl w:ilvl="0" w:tentative="0">
      <w:start w:val="1"/>
      <w:numFmt w:val="decimal"/>
      <w:lvlText w:val="%1."/>
      <w:lvlJc w:val="left"/>
      <w:pPr>
        <w:ind w:left="425" w:hanging="425"/>
      </w:pPr>
      <w:rPr>
        <w:rFonts w:hint="default"/>
      </w:rPr>
    </w:lvl>
  </w:abstractNum>
  <w:abstractNum w:abstractNumId="15">
    <w:nsid w:val="369BC0BD"/>
    <w:multiLevelType w:val="singleLevel"/>
    <w:tmpl w:val="369BC0BD"/>
    <w:lvl w:ilvl="0" w:tentative="0">
      <w:start w:val="1"/>
      <w:numFmt w:val="decimal"/>
      <w:lvlText w:val="%1."/>
      <w:lvlJc w:val="left"/>
      <w:pPr>
        <w:ind w:left="425" w:hanging="425"/>
      </w:pPr>
      <w:rPr>
        <w:rFonts w:hint="default"/>
      </w:rPr>
    </w:lvl>
  </w:abstractNum>
  <w:abstractNum w:abstractNumId="16">
    <w:nsid w:val="4EFBC270"/>
    <w:multiLevelType w:val="singleLevel"/>
    <w:tmpl w:val="4EFBC270"/>
    <w:lvl w:ilvl="0" w:tentative="0">
      <w:start w:val="1"/>
      <w:numFmt w:val="decimal"/>
      <w:lvlText w:val="%1)"/>
      <w:lvlJc w:val="left"/>
      <w:pPr>
        <w:ind w:left="425" w:hanging="425"/>
      </w:pPr>
      <w:rPr>
        <w:rFonts w:hint="default"/>
      </w:rPr>
    </w:lvl>
  </w:abstractNum>
  <w:abstractNum w:abstractNumId="17">
    <w:nsid w:val="50886426"/>
    <w:multiLevelType w:val="singleLevel"/>
    <w:tmpl w:val="50886426"/>
    <w:lvl w:ilvl="0" w:tentative="0">
      <w:start w:val="1"/>
      <w:numFmt w:val="decimal"/>
      <w:lvlText w:val="%1."/>
      <w:lvlJc w:val="left"/>
      <w:pPr>
        <w:ind w:left="425" w:hanging="425"/>
      </w:pPr>
      <w:rPr>
        <w:rFonts w:hint="default"/>
      </w:rPr>
    </w:lvl>
  </w:abstractNum>
  <w:num w:numId="1">
    <w:abstractNumId w:val="1"/>
  </w:num>
  <w:num w:numId="2">
    <w:abstractNumId w:val="7"/>
  </w:num>
  <w:num w:numId="3">
    <w:abstractNumId w:val="5"/>
  </w:num>
  <w:num w:numId="4">
    <w:abstractNumId w:val="17"/>
  </w:num>
  <w:num w:numId="5">
    <w:abstractNumId w:val="15"/>
  </w:num>
  <w:num w:numId="6">
    <w:abstractNumId w:val="3"/>
  </w:num>
  <w:num w:numId="7">
    <w:abstractNumId w:val="0"/>
  </w:num>
  <w:num w:numId="8">
    <w:abstractNumId w:val="6"/>
  </w:num>
  <w:num w:numId="9">
    <w:abstractNumId w:val="2"/>
  </w:num>
  <w:num w:numId="10">
    <w:abstractNumId w:val="14"/>
  </w:num>
  <w:num w:numId="11">
    <w:abstractNumId w:val="10"/>
  </w:num>
  <w:num w:numId="12">
    <w:abstractNumId w:val="8"/>
  </w:num>
  <w:num w:numId="13">
    <w:abstractNumId w:val="11"/>
  </w:num>
  <w:num w:numId="14">
    <w:abstractNumId w:val="4"/>
  </w:num>
  <w:num w:numId="15">
    <w:abstractNumId w:val="16"/>
  </w:num>
  <w:num w:numId="16">
    <w:abstractNumId w:val="12"/>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CD44EA"/>
    <w:rsid w:val="014574C9"/>
    <w:rsid w:val="0156564A"/>
    <w:rsid w:val="02136551"/>
    <w:rsid w:val="06041731"/>
    <w:rsid w:val="06772AFC"/>
    <w:rsid w:val="074547E0"/>
    <w:rsid w:val="082206B3"/>
    <w:rsid w:val="0ACA0A98"/>
    <w:rsid w:val="0B432E4B"/>
    <w:rsid w:val="0F0C2A85"/>
    <w:rsid w:val="0F4E4C3A"/>
    <w:rsid w:val="0FD06965"/>
    <w:rsid w:val="103116CF"/>
    <w:rsid w:val="142C5B41"/>
    <w:rsid w:val="143E6FE7"/>
    <w:rsid w:val="150336EB"/>
    <w:rsid w:val="19573B51"/>
    <w:rsid w:val="1AE14BCE"/>
    <w:rsid w:val="1B12265C"/>
    <w:rsid w:val="1D991840"/>
    <w:rsid w:val="206803A8"/>
    <w:rsid w:val="20B9221F"/>
    <w:rsid w:val="210018B2"/>
    <w:rsid w:val="2169523D"/>
    <w:rsid w:val="23744066"/>
    <w:rsid w:val="237566DE"/>
    <w:rsid w:val="24051B75"/>
    <w:rsid w:val="2C615E6C"/>
    <w:rsid w:val="2CA07598"/>
    <w:rsid w:val="2CFB103E"/>
    <w:rsid w:val="2D18751F"/>
    <w:rsid w:val="2DB23585"/>
    <w:rsid w:val="30386BBD"/>
    <w:rsid w:val="32795263"/>
    <w:rsid w:val="33CE2720"/>
    <w:rsid w:val="34E16CB4"/>
    <w:rsid w:val="371251FC"/>
    <w:rsid w:val="3AF40462"/>
    <w:rsid w:val="3C2C061B"/>
    <w:rsid w:val="3CE430B6"/>
    <w:rsid w:val="3E07770C"/>
    <w:rsid w:val="3EBB4B06"/>
    <w:rsid w:val="40814735"/>
    <w:rsid w:val="42716792"/>
    <w:rsid w:val="42DB31AD"/>
    <w:rsid w:val="42DD1DF1"/>
    <w:rsid w:val="47920007"/>
    <w:rsid w:val="48AE41E7"/>
    <w:rsid w:val="48E27F48"/>
    <w:rsid w:val="490878C9"/>
    <w:rsid w:val="4A4E38F3"/>
    <w:rsid w:val="4ABD5C03"/>
    <w:rsid w:val="4D894759"/>
    <w:rsid w:val="4DC8700C"/>
    <w:rsid w:val="4E454230"/>
    <w:rsid w:val="4ED604BA"/>
    <w:rsid w:val="4ED76E3C"/>
    <w:rsid w:val="4F2A7CBD"/>
    <w:rsid w:val="4FA2084A"/>
    <w:rsid w:val="531379DA"/>
    <w:rsid w:val="56C60327"/>
    <w:rsid w:val="59DD36BD"/>
    <w:rsid w:val="5B9C764D"/>
    <w:rsid w:val="5C4F6705"/>
    <w:rsid w:val="62510E5D"/>
    <w:rsid w:val="62A031F6"/>
    <w:rsid w:val="62CD44EA"/>
    <w:rsid w:val="645F05C8"/>
    <w:rsid w:val="65867087"/>
    <w:rsid w:val="66D93F0B"/>
    <w:rsid w:val="67394B96"/>
    <w:rsid w:val="67A85BB3"/>
    <w:rsid w:val="67E141EA"/>
    <w:rsid w:val="69B10834"/>
    <w:rsid w:val="69D74443"/>
    <w:rsid w:val="6B287DA9"/>
    <w:rsid w:val="6B8041F2"/>
    <w:rsid w:val="6C3351B2"/>
    <w:rsid w:val="6D8E7AA4"/>
    <w:rsid w:val="70325648"/>
    <w:rsid w:val="713F5F19"/>
    <w:rsid w:val="720C49F6"/>
    <w:rsid w:val="73083A55"/>
    <w:rsid w:val="73B92077"/>
    <w:rsid w:val="790407AA"/>
    <w:rsid w:val="7A242247"/>
    <w:rsid w:val="7A5925B8"/>
    <w:rsid w:val="7EC80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2"/>
    <w:qFormat/>
    <w:uiPriority w:val="0"/>
    <w:pPr>
      <w:keepNext/>
      <w:keepLines/>
      <w:numPr>
        <w:ilvl w:val="0"/>
        <w:numId w:val="1"/>
      </w:numPr>
      <w:spacing w:beforeLines="0" w:beforeAutospacing="0" w:afterLines="0" w:afterAutospacing="0" w:line="240" w:lineRule="auto"/>
      <w:ind w:firstLine="0"/>
      <w:jc w:val="left"/>
      <w:outlineLvl w:val="0"/>
    </w:pPr>
    <w:rPr>
      <w:rFonts w:ascii="Tahoma" w:hAnsi="Tahoma"/>
      <w:b/>
      <w:kern w:val="44"/>
      <w:sz w:val="28"/>
      <w:szCs w:val="22"/>
    </w:rPr>
  </w:style>
  <w:style w:type="paragraph" w:styleId="5">
    <w:name w:val="heading 2"/>
    <w:basedOn w:val="1"/>
    <w:next w:val="1"/>
    <w:link w:val="21"/>
    <w:qFormat/>
    <w:uiPriority w:val="0"/>
    <w:pPr>
      <w:keepNext/>
      <w:keepLines/>
      <w:numPr>
        <w:ilvl w:val="1"/>
        <w:numId w:val="1"/>
      </w:numPr>
      <w:spacing w:before="260" w:after="260" w:line="416" w:lineRule="auto"/>
      <w:ind w:left="0" w:firstLine="0"/>
      <w:jc w:val="left"/>
      <w:outlineLvl w:val="1"/>
    </w:pPr>
    <w:rPr>
      <w:rFonts w:ascii="Arial" w:hAnsi="Arial"/>
      <w:b/>
      <w:bCs/>
      <w:sz w:val="28"/>
      <w:szCs w:val="32"/>
    </w:rPr>
  </w:style>
  <w:style w:type="paragraph" w:styleId="6">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7">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9">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0" w:line="360" w:lineRule="auto"/>
      <w:ind w:firstLine="420"/>
    </w:pPr>
    <w:rPr>
      <w:rFonts w:ascii="宋体" w:hAnsi="宋体" w:eastAsia="仿宋_GB2312"/>
      <w:sz w:val="24"/>
    </w:rPr>
  </w:style>
  <w:style w:type="paragraph" w:styleId="3">
    <w:name w:val="Body Text"/>
    <w:basedOn w:val="1"/>
    <w:unhideWhenUsed/>
    <w:qFormat/>
    <w:uiPriority w:val="0"/>
    <w:pPr>
      <w:spacing w:after="120"/>
    </w:pPr>
  </w:style>
  <w:style w:type="paragraph" w:styleId="13">
    <w:name w:val="Normal Indent"/>
    <w:basedOn w:val="1"/>
    <w:qFormat/>
    <w:uiPriority w:val="0"/>
    <w:pPr>
      <w:adjustRightInd w:val="0"/>
      <w:spacing w:line="312" w:lineRule="atLeast"/>
      <w:ind w:firstLine="420"/>
      <w:textAlignment w:val="baseline"/>
    </w:pPr>
    <w:rPr>
      <w:rFonts w:eastAsia="宋体"/>
      <w:sz w:val="21"/>
      <w:lang w:val="en-US" w:eastAsia="zh-CN" w:bidi="ar-SA"/>
    </w:rPr>
  </w:style>
  <w:style w:type="paragraph" w:styleId="14">
    <w:name w:val="Date"/>
    <w:basedOn w:val="1"/>
    <w:next w:val="1"/>
    <w:qFormat/>
    <w:uiPriority w:val="0"/>
    <w:rPr>
      <w:rFonts w:ascii="宋体" w:eastAsia="宋体"/>
      <w:kern w:val="2"/>
      <w:sz w:val="24"/>
      <w:lang w:val="en-US" w:eastAsia="zh-CN"/>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2 Char"/>
    <w:link w:val="5"/>
    <w:qFormat/>
    <w:uiPriority w:val="0"/>
    <w:rPr>
      <w:rFonts w:ascii="Arial" w:hAnsi="Arial" w:eastAsia="宋体"/>
      <w:b/>
      <w:bCs/>
      <w:sz w:val="28"/>
      <w:szCs w:val="32"/>
    </w:rPr>
  </w:style>
  <w:style w:type="character" w:customStyle="1" w:styleId="22">
    <w:name w:val="标题 1 Char"/>
    <w:link w:val="4"/>
    <w:qFormat/>
    <w:uiPriority w:val="0"/>
    <w:rPr>
      <w:rFonts w:ascii="Tahoma" w:hAnsi="Tahoma" w:eastAsia="宋体"/>
      <w:b/>
      <w:kern w:val="44"/>
      <w:sz w:val="28"/>
      <w:szCs w:val="22"/>
    </w:rPr>
  </w:style>
  <w:style w:type="paragraph" w:customStyle="1" w:styleId="23">
    <w:name w:val="总标题"/>
    <w:qFormat/>
    <w:uiPriority w:val="0"/>
    <w:pPr>
      <w:spacing w:line="720" w:lineRule="auto"/>
      <w:jc w:val="center"/>
    </w:pPr>
    <w:rPr>
      <w:rFonts w:ascii="Times New Roman" w:hAnsi="Times New Roman" w:eastAsia="宋体" w:cs="Times New Roman"/>
      <w:b/>
      <w:kern w:val="2"/>
      <w:sz w:val="52"/>
      <w:szCs w:val="24"/>
      <w:lang w:val="en-US" w:eastAsia="zh-CN" w:bidi="ar-SA"/>
    </w:rPr>
  </w:style>
  <w:style w:type="paragraph" w:customStyle="1" w:styleId="24">
    <w:name w:val="文本正文"/>
    <w:basedOn w:val="1"/>
    <w:qFormat/>
    <w:uiPriority w:val="0"/>
    <w:pPr>
      <w:spacing w:line="360" w:lineRule="auto"/>
      <w:ind w:firstLine="200" w:firstLineChars="200"/>
    </w:pPr>
    <w:rPr>
      <w:rFonts w:ascii="宋体" w:hAnsi="宋体" w:eastAsia="宋体"/>
      <w:kern w:val="2"/>
      <w:sz w:val="24"/>
      <w:szCs w:val="24"/>
      <w:lang w:val="en-US" w:eastAsia="zh-CN" w:bidi="ar-SA"/>
    </w:rPr>
  </w:style>
  <w:style w:type="character" w:customStyle="1" w:styleId="25">
    <w:name w:val="Font Style89"/>
    <w:basedOn w:val="20"/>
    <w:qFormat/>
    <w:uiPriority w:val="0"/>
    <w:rPr>
      <w:rFonts w:ascii="宋体" w:eastAsia="宋体" w:cs="宋体"/>
      <w:b/>
      <w:bCs/>
      <w:sz w:val="22"/>
      <w:szCs w:val="22"/>
    </w:rPr>
  </w:style>
  <w:style w:type="paragraph" w:customStyle="1" w:styleId="26">
    <w:name w:val="样式 样式 文本块 + 宋体 五号 左侧:  0 厘米 右侧:  0 厘米 + 首行缩进:  2 字符"/>
    <w:basedOn w:val="1"/>
    <w:next w:val="1"/>
    <w:qFormat/>
    <w:uiPriority w:val="0"/>
    <w:pPr>
      <w:adjustRightInd w:val="0"/>
      <w:ind w:firstLine="480" w:firstLineChars="200"/>
      <w:textAlignment w:val="baseline"/>
    </w:pPr>
    <w:rPr>
      <w:rFonts w:ascii="宋体" w:hAnsi="宋体"/>
      <w:color w:val="000000"/>
      <w:kern w:val="32"/>
      <w:sz w:val="24"/>
    </w:rPr>
  </w:style>
  <w:style w:type="paragraph" w:customStyle="1" w:styleId="27">
    <w:name w:val="~body text"/>
    <w:basedOn w:val="1"/>
    <w:qFormat/>
    <w:uiPriority w:val="0"/>
    <w:pPr>
      <w:widowControl/>
      <w:spacing w:before="240" w:beforeLines="0" w:after="60" w:afterLines="0" w:line="240" w:lineRule="auto"/>
      <w:ind w:left="720"/>
      <w:jc w:val="left"/>
    </w:pPr>
    <w:rPr>
      <w:rFonts w:ascii="Arial" w:hAnsi="Arial"/>
      <w:spacing w:val="-2"/>
      <w:kern w:val="28"/>
      <w:sz w:val="22"/>
      <w:lang w:val="en-GB" w:eastAsia="en-US"/>
    </w:rPr>
  </w:style>
  <w:style w:type="paragraph" w:customStyle="1" w:styleId="28">
    <w:name w:val="~indent1"/>
    <w:basedOn w:val="1"/>
    <w:qFormat/>
    <w:uiPriority w:val="0"/>
    <w:pPr>
      <w:widowControl/>
      <w:spacing w:before="60" w:beforeLines="0" w:after="60" w:afterLines="0" w:line="240" w:lineRule="auto"/>
      <w:ind w:left="1080"/>
      <w:jc w:val="left"/>
    </w:pPr>
    <w:rPr>
      <w:rFonts w:ascii="Arial" w:hAnsi="Arial"/>
      <w:kern w:val="0"/>
      <w:sz w:val="22"/>
      <w:lang w:val="en-GB"/>
    </w:rPr>
  </w:style>
  <w:style w:type="paragraph" w:customStyle="1" w:styleId="29">
    <w:name w:val="需求书2"/>
    <w:basedOn w:val="1"/>
    <w:qFormat/>
    <w:uiPriority w:val="0"/>
    <w:pPr>
      <w:spacing w:line="240" w:lineRule="auto"/>
    </w:pPr>
    <w:rPr>
      <w:rFonts w:ascii="宋体" w:hAnsi="宋体"/>
      <w:color w:val="99CC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2020-04-24T05:04:00Z</dcterms:created>
  <dc:creator>荷而斯</dc:creator>
  <cp:lastModifiedBy>mr.秋雨</cp:lastModifiedBy>
  <cp:lastPrinted>2020-05-30T07:21:00Z</cp:lastPrinted>
  <dcterms:modified xsi:type="dcterms:W3CDTF">2020-05-31T09:29:54Z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