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简体" w:eastAsia="方正小标宋_GBK" w:cs="方正小标宋简体"/>
          <w:b/>
          <w:sz w:val="44"/>
          <w:szCs w:val="44"/>
          <w:highlight w:val="none"/>
        </w:rPr>
      </w:pPr>
    </w:p>
    <w:p>
      <w:pPr>
        <w:adjustRightInd w:val="0"/>
        <w:snapToGrid w:val="0"/>
        <w:jc w:val="center"/>
        <w:rPr>
          <w:rFonts w:hint="eastAsia" w:ascii="方正小标宋_GBK" w:hAnsi="方正小标宋简体" w:eastAsia="方正小标宋_GBK" w:cs="方正小标宋简体"/>
          <w:bCs/>
          <w:sz w:val="44"/>
          <w:szCs w:val="44"/>
          <w:highlight w:val="none"/>
          <w:lang w:eastAsia="zh-CN"/>
        </w:rPr>
      </w:pPr>
      <w:r>
        <w:rPr>
          <w:rFonts w:hint="eastAsia" w:ascii="方正小标宋_GBK" w:hAnsi="方正小标宋简体" w:eastAsia="方正小标宋_GBK" w:cs="方正小标宋简体"/>
          <w:bCs/>
          <w:sz w:val="44"/>
          <w:szCs w:val="44"/>
          <w:highlight w:val="none"/>
        </w:rPr>
        <w:t>重庆江北国际机场T2、T3A航站楼零星植物及花器采购项目</w:t>
      </w:r>
      <w:r>
        <w:rPr>
          <w:rFonts w:hint="eastAsia" w:ascii="方正小标宋_GBK" w:hAnsi="方正小标宋简体" w:eastAsia="方正小标宋_GBK" w:cs="方正小标宋简体"/>
          <w:bCs/>
          <w:sz w:val="44"/>
          <w:szCs w:val="44"/>
          <w:highlight w:val="none"/>
          <w:lang w:eastAsia="zh-CN"/>
        </w:rPr>
        <w:t>（第二次）</w:t>
      </w:r>
    </w:p>
    <w:p>
      <w:pPr>
        <w:adjustRightInd w:val="0"/>
        <w:snapToGrid w:val="0"/>
        <w:rPr>
          <w:rFonts w:ascii="宋体" w:hAnsi="宋体" w:cs="MingLiU"/>
          <w:b/>
          <w:kern w:val="0"/>
          <w:highlight w:val="none"/>
        </w:rPr>
      </w:pPr>
    </w:p>
    <w:p>
      <w:pPr>
        <w:adjustRightInd w:val="0"/>
        <w:snapToGrid w:val="0"/>
        <w:jc w:val="center"/>
        <w:rPr>
          <w:rFonts w:ascii="宋体" w:hAnsi="宋体" w:cs="MingLiU"/>
          <w:b/>
          <w:kern w:val="0"/>
          <w:highlight w:val="none"/>
        </w:rPr>
      </w:pPr>
    </w:p>
    <w:p>
      <w:pPr>
        <w:adjustRightInd w:val="0"/>
        <w:snapToGrid w:val="0"/>
        <w:rPr>
          <w:rFonts w:ascii="方正小标宋简体" w:hAnsi="方正小标宋简体" w:eastAsia="方正小标宋简体" w:cs="方正小标宋简体"/>
          <w:b/>
          <w:sz w:val="44"/>
          <w:szCs w:val="44"/>
          <w:highlight w:val="none"/>
        </w:rPr>
      </w:pPr>
    </w:p>
    <w:p>
      <w:pPr>
        <w:adjustRightInd w:val="0"/>
        <w:snapToGrid w:val="0"/>
        <w:jc w:val="center"/>
        <w:rPr>
          <w:rFonts w:ascii="方正小标宋简体" w:hAnsi="方正小标宋简体" w:eastAsia="方正小标宋简体" w:cs="方正小标宋简体"/>
          <w:b/>
          <w:sz w:val="44"/>
          <w:szCs w:val="44"/>
          <w:highlight w:val="none"/>
        </w:rPr>
      </w:pPr>
    </w:p>
    <w:p>
      <w:pPr>
        <w:adjustRightInd w:val="0"/>
        <w:snapToGrid w:val="0"/>
        <w:spacing w:line="480" w:lineRule="auto"/>
        <w:jc w:val="center"/>
        <w:rPr>
          <w:rFonts w:ascii="仿宋_GB2312" w:hAnsi="宋体"/>
          <w:b/>
          <w:sz w:val="84"/>
          <w:highlight w:val="none"/>
        </w:rPr>
      </w:pPr>
      <w:r>
        <w:rPr>
          <w:rFonts w:hint="eastAsia" w:ascii="方正小标宋简体" w:hAnsi="方正小标宋简体" w:eastAsia="方正小标宋简体" w:cs="方正小标宋简体"/>
          <w:bCs/>
          <w:sz w:val="84"/>
          <w:highlight w:val="none"/>
        </w:rPr>
        <w:t>比 选 文 件</w:t>
      </w:r>
    </w:p>
    <w:p>
      <w:pPr>
        <w:adjustRightInd w:val="0"/>
        <w:snapToGrid w:val="0"/>
        <w:spacing w:line="480" w:lineRule="auto"/>
        <w:ind w:firstLine="643"/>
        <w:jc w:val="center"/>
        <w:rPr>
          <w:rFonts w:ascii="仿宋_GB2312" w:hAnsi="宋体"/>
          <w:b/>
          <w:sz w:val="32"/>
          <w:szCs w:val="32"/>
          <w:highlight w:val="none"/>
        </w:rPr>
      </w:pPr>
    </w:p>
    <w:p>
      <w:pPr>
        <w:adjustRightInd w:val="0"/>
        <w:snapToGrid w:val="0"/>
        <w:spacing w:line="480" w:lineRule="auto"/>
        <w:ind w:firstLine="643"/>
        <w:jc w:val="center"/>
        <w:rPr>
          <w:rFonts w:ascii="仿宋_GB2312" w:hAnsi="宋体"/>
          <w:b/>
          <w:sz w:val="32"/>
          <w:szCs w:val="32"/>
          <w:highlight w:val="none"/>
        </w:rPr>
      </w:pPr>
    </w:p>
    <w:p>
      <w:pPr>
        <w:adjustRightInd w:val="0"/>
        <w:snapToGrid w:val="0"/>
        <w:jc w:val="center"/>
        <w:rPr>
          <w:rFonts w:hint="default" w:ascii="方正小标宋简体" w:hAnsi="方正小标宋简体" w:cs="方正小标宋简体" w:eastAsiaTheme="minorEastAsia"/>
          <w:b/>
          <w:sz w:val="28"/>
          <w:szCs w:val="28"/>
          <w:highlight w:val="none"/>
          <w:lang w:val="en-US" w:eastAsia="zh-CN"/>
        </w:rPr>
      </w:pPr>
      <w:r>
        <w:rPr>
          <w:rFonts w:hint="eastAsia" w:ascii="宋体" w:hAnsi="宋体" w:cs="MingLiU"/>
          <w:b/>
          <w:kern w:val="0"/>
          <w:sz w:val="28"/>
          <w:szCs w:val="28"/>
          <w:highlight w:val="none"/>
        </w:rPr>
        <w:t>编号：</w:t>
      </w:r>
      <w:r>
        <w:rPr>
          <w:rFonts w:hint="eastAsia" w:ascii="宋体" w:hAnsi="宋体" w:cs="MingLiU"/>
          <w:b/>
          <w:kern w:val="0"/>
          <w:sz w:val="28"/>
          <w:szCs w:val="28"/>
          <w:highlight w:val="none"/>
          <w:lang w:val="en-US" w:eastAsia="zh-CN"/>
        </w:rPr>
        <w:t>BX-2020-005</w:t>
      </w:r>
    </w:p>
    <w:p>
      <w:pPr>
        <w:adjustRightInd w:val="0"/>
        <w:snapToGrid w:val="0"/>
        <w:spacing w:line="480" w:lineRule="auto"/>
        <w:ind w:firstLine="643"/>
        <w:jc w:val="center"/>
        <w:rPr>
          <w:rFonts w:ascii="仿宋_GB2312" w:hAnsi="宋体"/>
          <w:b/>
          <w:sz w:val="32"/>
          <w:szCs w:val="32"/>
          <w:highlight w:val="none"/>
        </w:rPr>
      </w:pPr>
    </w:p>
    <w:p>
      <w:pPr>
        <w:autoSpaceDE w:val="0"/>
        <w:autoSpaceDN w:val="0"/>
        <w:adjustRightInd w:val="0"/>
        <w:ind w:firstLine="643"/>
        <w:rPr>
          <w:rFonts w:ascii="仿宋_GB2312" w:cs="宋体"/>
          <w:b/>
          <w:bCs/>
          <w:sz w:val="32"/>
          <w:szCs w:val="32"/>
          <w:highlight w:val="none"/>
          <w:lang w:val="zh-CN"/>
        </w:rPr>
      </w:pPr>
    </w:p>
    <w:p>
      <w:pPr>
        <w:autoSpaceDE w:val="0"/>
        <w:autoSpaceDN w:val="0"/>
        <w:adjustRightInd w:val="0"/>
        <w:spacing w:line="360" w:lineRule="auto"/>
        <w:jc w:val="center"/>
        <w:rPr>
          <w:rFonts w:ascii="仿宋_GB2312" w:cs="宋体"/>
          <w:b/>
          <w:bCs/>
          <w:sz w:val="32"/>
          <w:szCs w:val="32"/>
          <w:highlight w:val="none"/>
          <w:lang w:val="zh-CN"/>
        </w:rPr>
      </w:pPr>
      <w:r>
        <w:rPr>
          <w:rFonts w:hint="eastAsia" w:ascii="仿宋_GB2312" w:cs="宋体"/>
          <w:b/>
          <w:bCs/>
          <w:sz w:val="32"/>
          <w:szCs w:val="32"/>
          <w:highlight w:val="none"/>
          <w:lang w:val="zh-CN"/>
        </w:rPr>
        <w:t>重庆机场集团有限公司</w:t>
      </w:r>
    </w:p>
    <w:p>
      <w:pPr>
        <w:autoSpaceDE w:val="0"/>
        <w:autoSpaceDN w:val="0"/>
        <w:adjustRightInd w:val="0"/>
        <w:spacing w:line="360" w:lineRule="auto"/>
        <w:jc w:val="center"/>
        <w:rPr>
          <w:rFonts w:ascii="仿宋_GB2312" w:cs="MingLiU"/>
          <w:b/>
          <w:w w:val="99"/>
          <w:kern w:val="0"/>
          <w:sz w:val="28"/>
          <w:szCs w:val="28"/>
          <w:highlight w:val="none"/>
        </w:rPr>
      </w:pPr>
      <w:r>
        <w:rPr>
          <w:rFonts w:hint="eastAsia" w:ascii="仿宋_GB2312" w:cs="宋体"/>
          <w:b/>
          <w:bCs/>
          <w:sz w:val="32"/>
          <w:szCs w:val="32"/>
          <w:highlight w:val="none"/>
          <w:lang w:val="zh-CN"/>
        </w:rPr>
        <w:t>航站楼管理部</w:t>
      </w:r>
      <w:r>
        <w:rPr>
          <w:rFonts w:hint="eastAsia" w:ascii="仿宋_GB2312" w:cs="MingLiU"/>
          <w:b/>
          <w:spacing w:val="8"/>
          <w:kern w:val="0"/>
          <w:sz w:val="28"/>
          <w:szCs w:val="28"/>
          <w:highlight w:val="none"/>
        </w:rPr>
        <w:t>（代</w:t>
      </w:r>
      <w:r>
        <w:rPr>
          <w:rFonts w:hint="eastAsia" w:ascii="仿宋_GB2312" w:cs="MingLiU"/>
          <w:b/>
          <w:w w:val="99"/>
          <w:kern w:val="0"/>
          <w:sz w:val="28"/>
          <w:szCs w:val="28"/>
          <w:highlight w:val="none"/>
        </w:rPr>
        <w:t>章）</w:t>
      </w:r>
    </w:p>
    <w:p>
      <w:pPr>
        <w:autoSpaceDE w:val="0"/>
        <w:autoSpaceDN w:val="0"/>
        <w:adjustRightInd w:val="0"/>
        <w:spacing w:line="360" w:lineRule="auto"/>
        <w:ind w:firstLine="643"/>
        <w:jc w:val="center"/>
        <w:rPr>
          <w:rFonts w:ascii="仿宋_GB2312" w:cs="宋体"/>
          <w:b/>
          <w:bCs/>
          <w:sz w:val="32"/>
          <w:szCs w:val="32"/>
          <w:highlight w:val="none"/>
          <w:u w:val="single"/>
        </w:rPr>
      </w:pPr>
    </w:p>
    <w:p>
      <w:pPr>
        <w:autoSpaceDE w:val="0"/>
        <w:autoSpaceDN w:val="0"/>
        <w:adjustRightInd w:val="0"/>
        <w:spacing w:line="360" w:lineRule="auto"/>
        <w:jc w:val="center"/>
        <w:rPr>
          <w:rFonts w:ascii="仿宋_GB2312" w:cs="MingLiU"/>
          <w:b/>
          <w:w w:val="99"/>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cs="MingLiU"/>
          <w:b/>
          <w:w w:val="99"/>
          <w:kern w:val="0"/>
          <w:sz w:val="28"/>
          <w:szCs w:val="28"/>
          <w:highlight w:val="none"/>
        </w:rPr>
        <w:t>二〇二〇年</w:t>
      </w:r>
      <w:r>
        <w:rPr>
          <w:rFonts w:hint="eastAsia" w:ascii="仿宋_GB2312" w:cs="MingLiU"/>
          <w:b/>
          <w:w w:val="99"/>
          <w:kern w:val="0"/>
          <w:sz w:val="28"/>
          <w:szCs w:val="28"/>
          <w:highlight w:val="none"/>
          <w:lang w:eastAsia="zh-CN"/>
        </w:rPr>
        <w:t>六</w:t>
      </w:r>
      <w:r>
        <w:rPr>
          <w:rFonts w:hint="eastAsia" w:ascii="仿宋_GB2312" w:cs="MingLiU"/>
          <w:b/>
          <w:w w:val="99"/>
          <w:kern w:val="0"/>
          <w:sz w:val="28"/>
          <w:szCs w:val="28"/>
          <w:highlight w:val="none"/>
        </w:rPr>
        <w:t>月</w:t>
      </w:r>
    </w:p>
    <w:p>
      <w:pPr>
        <w:spacing w:before="120" w:beforeLines="50" w:after="120" w:afterLines="50" w:line="360" w:lineRule="auto"/>
        <w:ind w:firstLine="883"/>
        <w:jc w:val="center"/>
        <w:rPr>
          <w:rFonts w:ascii="宋体" w:hAnsi="宋体"/>
          <w:b/>
          <w:sz w:val="44"/>
          <w:szCs w:val="44"/>
          <w:highlight w:val="none"/>
        </w:rPr>
      </w:pPr>
      <w:bookmarkStart w:id="0" w:name="_Toc459888219"/>
      <w:bookmarkStart w:id="1" w:name="_Toc200359238"/>
      <w:bookmarkStart w:id="2" w:name="_Toc266905533"/>
      <w:bookmarkStart w:id="3" w:name="_Toc200359427"/>
      <w:r>
        <w:rPr>
          <w:rFonts w:hint="eastAsia" w:ascii="宋体" w:hAnsi="宋体"/>
          <w:b/>
          <w:sz w:val="44"/>
          <w:szCs w:val="44"/>
          <w:highlight w:val="none"/>
        </w:rPr>
        <w:t>目    录</w:t>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TOC \o "1-2" \h \z \u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_Toc16968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第一章 比选采购公告</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_Toc16968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_Toc3538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比选条件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_Toc3538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_Toc2642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 项目概况和采购范围</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_Toc2642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_Toc5801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 比选响应人资格要求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_Toc5801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_Toc20113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 比选文件的获取</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_Toc20113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_Toc10431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 比选响应文件的递交</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_Toc10431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_Toc2677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6．比选时间及地点</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_Toc2677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_Toc29374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7．现场踏勘</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_Toc29374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_Toc14099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8．监督部门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_Toc14099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_Toc16950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9．联系方式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_Toc16950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_Toc26974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第二章 采购人需求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_Toc26974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_Toc26464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T2、T3A航站楼零星植物及花器采购项目采购需求表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_Toc26464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ind w:firstLine="960" w:firstLineChars="400"/>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_Toc7204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 质量及服务要求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_Toc7204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_Toc28559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第三章 比选响应人须知</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_Toc28559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_Toc12311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一、比选响应人须知前附表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_Toc12311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_Toc14741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二、比选响应人须知</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_Toc14741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_Toc2437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总则</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_Toc2437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_Toc11114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2．比选文件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_Toc11114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17</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_Toc19404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3．比选响应文件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_Toc19404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17</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_Toc26341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4．投标</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_Toc26341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18</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_Toc13712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5．比选</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_Toc13712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_Toc27545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6．评审</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_Toc27545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_Toc7570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7．合同授予</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_Toc7570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_Toc7382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8．重新比选</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_Toc7382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_Toc27438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9．纪律和监督</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_Toc27438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_Toc14509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 需要补充的其他内容（见比选响应人须知前附表）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_Toc14509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_Toc4039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第四章 评选办法（有效最低价）</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_Toc4039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_Toc20519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一、评选办法前附表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_Toc20519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_Toc28849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二、评选办法</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_Toc28849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24</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_Toc19395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第五章 合同条款及格式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_Toc19395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_Toc28524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第六章 比选响应文件格式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_Toc28524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_Toc21515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（投标函部分）</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_Toc21515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_Toc5532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（资格审查部分）</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_Toc5532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ind w:left="480" w:firstLine="480"/>
        <w:rPr>
          <w:rFonts w:asciiTheme="minorEastAsia" w:hAnsiTheme="minorEastAsia" w:eastAsiaTheme="minorEastAsia"/>
          <w:highlight w:val="none"/>
        </w:rPr>
      </w:pP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ind w:left="480" w:firstLine="480"/>
        <w:rPr>
          <w:rFonts w:asciiTheme="minorEastAsia" w:hAnsiTheme="minorEastAsia" w:eastAsiaTheme="minorEastAsia"/>
          <w:highlight w:val="none"/>
        </w:rPr>
        <w:sectPr>
          <w:footerReference r:id="rId10" w:type="first"/>
          <w:footerReference r:id="rId9" w:type="default"/>
          <w:pgSz w:w="11906" w:h="16838"/>
          <w:pgMar w:top="1440" w:right="1644" w:bottom="1440" w:left="1644" w:header="850" w:footer="794" w:gutter="0"/>
          <w:pgNumType w:start="1"/>
          <w:cols w:space="720" w:num="1"/>
          <w:titlePg/>
          <w:docGrid w:linePitch="318" w:charSpace="0"/>
        </w:sectPr>
      </w:pPr>
      <w:r>
        <w:rPr>
          <w:rFonts w:hint="eastAsia" w:asciiTheme="minorEastAsia" w:hAnsiTheme="minorEastAsia" w:eastAsiaTheme="minorEastAsia"/>
          <w:highlight w:val="none"/>
        </w:rPr>
        <w:br w:type="page"/>
      </w:r>
    </w:p>
    <w:p>
      <w:pPr>
        <w:pStyle w:val="3"/>
        <w:ind w:firstLine="883"/>
        <w:rPr>
          <w:highlight w:val="none"/>
        </w:rPr>
      </w:pPr>
      <w:bookmarkStart w:id="4" w:name="_Toc16968"/>
      <w:bookmarkStart w:id="5" w:name="_Toc26555"/>
      <w:bookmarkStart w:id="6" w:name="_Toc13198"/>
      <w:bookmarkStart w:id="7" w:name="_Toc4776"/>
      <w:r>
        <w:rPr>
          <w:rFonts w:hint="eastAsia"/>
          <w:highlight w:val="none"/>
        </w:rPr>
        <w:t xml:space="preserve">第一章 </w:t>
      </w:r>
      <w:bookmarkEnd w:id="0"/>
      <w:r>
        <w:rPr>
          <w:rFonts w:hint="eastAsia"/>
          <w:highlight w:val="none"/>
        </w:rPr>
        <w:t>比选采购公告</w:t>
      </w:r>
      <w:bookmarkEnd w:id="4"/>
      <w:bookmarkEnd w:id="5"/>
      <w:bookmarkEnd w:id="6"/>
      <w:bookmarkEnd w:id="7"/>
    </w:p>
    <w:bookmarkEnd w:id="1"/>
    <w:bookmarkEnd w:id="2"/>
    <w:bookmarkEnd w:id="3"/>
    <w:p>
      <w:pPr>
        <w:pStyle w:val="4"/>
        <w:spacing w:line="240" w:lineRule="auto"/>
        <w:ind w:firstLine="0" w:firstLineChars="0"/>
        <w:rPr>
          <w:rFonts w:eastAsiaTheme="minorEastAsia"/>
          <w:color w:val="auto"/>
          <w:highlight w:val="none"/>
        </w:rPr>
      </w:pPr>
      <w:bookmarkStart w:id="8" w:name="_Toc200359428"/>
      <w:bookmarkStart w:id="9" w:name="_Toc459888221"/>
      <w:bookmarkStart w:id="10" w:name="_Toc273447118"/>
      <w:bookmarkStart w:id="11" w:name="_Toc200359239"/>
      <w:bookmarkStart w:id="12" w:name="_Toc9704"/>
      <w:bookmarkStart w:id="13" w:name="_Toc12596"/>
      <w:bookmarkStart w:id="14" w:name="_Toc29675"/>
      <w:bookmarkStart w:id="15" w:name="_Toc3538"/>
      <w:r>
        <w:rPr>
          <w:rFonts w:hint="eastAsia" w:asciiTheme="minorEastAsia" w:hAnsiTheme="minorEastAsia" w:eastAsiaTheme="minorEastAsia"/>
          <w:color w:val="auto"/>
          <w:highlight w:val="none"/>
        </w:rPr>
        <w:t xml:space="preserve">1. </w:t>
      </w:r>
      <w:bookmarkEnd w:id="8"/>
      <w:bookmarkEnd w:id="9"/>
      <w:bookmarkEnd w:id="10"/>
      <w:bookmarkEnd w:id="11"/>
      <w:r>
        <w:rPr>
          <w:rFonts w:hint="eastAsia" w:eastAsiaTheme="minorEastAsia"/>
          <w:color w:val="auto"/>
          <w:highlight w:val="none"/>
        </w:rPr>
        <w:t>比选条件</w:t>
      </w:r>
      <w:bookmarkEnd w:id="12"/>
      <w:bookmarkEnd w:id="13"/>
      <w:bookmarkEnd w:id="14"/>
      <w:bookmarkEnd w:id="15"/>
    </w:p>
    <w:p>
      <w:pPr>
        <w:pStyle w:val="24"/>
        <w:widowControl/>
        <w:shd w:val="clear" w:color="auto" w:fill="FFFFFF"/>
        <w:spacing w:beforeAutospacing="0" w:afterAutospacing="0" w:line="360" w:lineRule="atLeast"/>
        <w:ind w:firstLine="420"/>
        <w:rPr>
          <w:rFonts w:ascii="宋体" w:hAnsi="宋体" w:eastAsia="宋体" w:cs="宋体"/>
          <w:szCs w:val="24"/>
          <w:highlight w:val="none"/>
        </w:rPr>
      </w:pPr>
      <w:bookmarkStart w:id="16" w:name="_Toc459888222"/>
      <w:bookmarkStart w:id="17" w:name="_Toc200359429"/>
      <w:bookmarkStart w:id="18" w:name="_Toc200359240"/>
      <w:bookmarkStart w:id="19" w:name="_Toc273447119"/>
      <w:r>
        <w:rPr>
          <w:rFonts w:hint="eastAsia" w:ascii="宋体" w:hAnsi="宋体" w:cstheme="minorBidi"/>
          <w:kern w:val="2"/>
          <w:highlight w:val="none"/>
          <w:u w:val="single"/>
        </w:rPr>
        <w:t>重庆江北国际机场T2、T3A航站楼零星植物及花器采购项目</w:t>
      </w:r>
      <w:r>
        <w:rPr>
          <w:rFonts w:hint="eastAsia" w:ascii="宋体" w:hAnsi="宋体" w:cstheme="minorBidi"/>
          <w:kern w:val="2"/>
          <w:highlight w:val="none"/>
        </w:rPr>
        <w:t>已批准，采购人为重庆机场集团有限公司。本项目已具备采购条件，</w:t>
      </w:r>
      <w:r>
        <w:rPr>
          <w:rFonts w:hint="eastAsia" w:ascii="宋体" w:hAnsi="宋体" w:cstheme="minorBidi"/>
          <w:kern w:val="2"/>
          <w:highlight w:val="none"/>
          <w:lang w:eastAsia="zh-CN"/>
        </w:rPr>
        <w:t>重庆机场集团有限公司航站楼管理部受采购人委托，</w:t>
      </w:r>
      <w:r>
        <w:rPr>
          <w:rFonts w:hint="eastAsia" w:ascii="宋体" w:hAnsi="宋体" w:cstheme="minorBidi"/>
          <w:kern w:val="2"/>
          <w:highlight w:val="none"/>
        </w:rPr>
        <w:t>现进行比选采购。</w:t>
      </w:r>
    </w:p>
    <w:p>
      <w:pPr>
        <w:pStyle w:val="4"/>
        <w:spacing w:line="240" w:lineRule="auto"/>
        <w:ind w:firstLine="0" w:firstLineChars="0"/>
        <w:rPr>
          <w:rFonts w:asciiTheme="minorEastAsia" w:hAnsiTheme="minorEastAsia" w:eastAsiaTheme="minorEastAsia"/>
          <w:color w:val="auto"/>
          <w:highlight w:val="none"/>
        </w:rPr>
      </w:pPr>
      <w:bookmarkStart w:id="20" w:name="_Toc6659"/>
      <w:bookmarkStart w:id="21" w:name="_Toc21399"/>
      <w:bookmarkStart w:id="22" w:name="_Toc2642"/>
      <w:bookmarkStart w:id="23" w:name="_Toc10274"/>
      <w:r>
        <w:rPr>
          <w:rFonts w:hint="eastAsia" w:asciiTheme="minorEastAsia" w:hAnsiTheme="minorEastAsia" w:eastAsiaTheme="minorEastAsia"/>
          <w:color w:val="auto"/>
          <w:highlight w:val="none"/>
        </w:rPr>
        <w:t xml:space="preserve">2. </w:t>
      </w:r>
      <w:bookmarkEnd w:id="16"/>
      <w:bookmarkEnd w:id="17"/>
      <w:bookmarkEnd w:id="18"/>
      <w:bookmarkEnd w:id="19"/>
      <w:r>
        <w:rPr>
          <w:rFonts w:hint="eastAsia" w:asciiTheme="minorEastAsia" w:hAnsiTheme="minorEastAsia" w:eastAsiaTheme="minorEastAsia"/>
          <w:color w:val="auto"/>
          <w:highlight w:val="none"/>
        </w:rPr>
        <w:t>项目概况和采购范围</w:t>
      </w:r>
      <w:bookmarkEnd w:id="20"/>
      <w:bookmarkEnd w:id="21"/>
      <w:bookmarkEnd w:id="22"/>
      <w:bookmarkEnd w:id="23"/>
    </w:p>
    <w:p>
      <w:pPr>
        <w:tabs>
          <w:tab w:val="left" w:pos="546"/>
          <w:tab w:val="left" w:pos="711"/>
        </w:tabs>
        <w:snapToGrid w:val="0"/>
        <w:ind w:firstLine="480"/>
        <w:rPr>
          <w:rFonts w:ascii="宋体" w:hAnsi="宋体"/>
          <w:highlight w:val="none"/>
        </w:rPr>
      </w:pPr>
      <w:r>
        <w:rPr>
          <w:rFonts w:hint="eastAsia" w:ascii="宋体" w:hAnsi="宋体"/>
          <w:highlight w:val="none"/>
        </w:rPr>
        <w:t>工程名称：重庆江北国际机场T2、T3A航站楼零星植物及花器采购项目。</w:t>
      </w:r>
    </w:p>
    <w:p>
      <w:pPr>
        <w:tabs>
          <w:tab w:val="left" w:pos="546"/>
          <w:tab w:val="left" w:pos="711"/>
        </w:tabs>
        <w:snapToGrid w:val="0"/>
        <w:ind w:firstLine="480"/>
        <w:rPr>
          <w:rFonts w:ascii="宋体" w:hAnsi="宋体"/>
          <w:highlight w:val="none"/>
        </w:rPr>
      </w:pPr>
      <w:r>
        <w:rPr>
          <w:rFonts w:hint="eastAsia" w:ascii="宋体" w:hAnsi="宋体"/>
          <w:highlight w:val="none"/>
        </w:rPr>
        <w:t>项目地点：重庆江北</w:t>
      </w:r>
      <w:r>
        <w:rPr>
          <w:rFonts w:hint="eastAsia" w:ascii="宋体" w:hAnsi="宋体"/>
          <w:highlight w:val="none"/>
          <w:lang w:eastAsia="zh-CN"/>
        </w:rPr>
        <w:t>国际</w:t>
      </w:r>
      <w:r>
        <w:rPr>
          <w:rFonts w:hint="eastAsia" w:ascii="宋体" w:hAnsi="宋体"/>
          <w:highlight w:val="none"/>
        </w:rPr>
        <w:t>机场T2、T3A航站楼。</w:t>
      </w:r>
    </w:p>
    <w:p>
      <w:pPr>
        <w:tabs>
          <w:tab w:val="left" w:pos="546"/>
          <w:tab w:val="left" w:pos="711"/>
        </w:tabs>
        <w:snapToGrid w:val="0"/>
        <w:ind w:firstLine="480"/>
        <w:rPr>
          <w:rFonts w:ascii="宋体" w:hAnsi="宋体"/>
          <w:highlight w:val="none"/>
        </w:rPr>
      </w:pPr>
      <w:r>
        <w:rPr>
          <w:rFonts w:hint="eastAsia" w:ascii="宋体" w:hAnsi="宋体"/>
          <w:highlight w:val="none"/>
        </w:rPr>
        <w:t>采购范围：重庆江北国际机场T2、T3A航站楼零星植物</w:t>
      </w:r>
      <w:r>
        <w:rPr>
          <w:rFonts w:hint="eastAsia" w:ascii="宋体" w:hAnsi="宋体"/>
          <w:highlight w:val="none"/>
          <w:lang w:eastAsia="zh-CN"/>
        </w:rPr>
        <w:t>及花器</w:t>
      </w:r>
      <w:r>
        <w:rPr>
          <w:rFonts w:hint="eastAsia" w:ascii="宋体" w:hAnsi="宋体"/>
          <w:highlight w:val="none"/>
        </w:rPr>
        <w:t>等产品</w:t>
      </w:r>
      <w:r>
        <w:rPr>
          <w:rFonts w:hint="eastAsia" w:ascii="宋体" w:hAnsi="宋体"/>
          <w:highlight w:val="none"/>
          <w:lang w:eastAsia="zh-CN"/>
        </w:rPr>
        <w:t>（详见第二章“</w:t>
      </w:r>
      <w:r>
        <w:rPr>
          <w:rFonts w:hint="eastAsia" w:cs="Times New Roman" w:asciiTheme="minorEastAsia" w:hAnsiTheme="minorEastAsia" w:eastAsiaTheme="minorEastAsia"/>
          <w:kern w:val="2"/>
          <w:sz w:val="24"/>
          <w:szCs w:val="24"/>
          <w:highlight w:val="none"/>
          <w:lang w:val="en-US" w:eastAsia="zh-CN" w:bidi="ar-SA"/>
        </w:rPr>
        <w:t>T2、T3A航站楼零星植物及花器采购项目采购需求表</w:t>
      </w:r>
      <w:r>
        <w:rPr>
          <w:rFonts w:hint="eastAsia" w:ascii="宋体" w:hAnsi="宋体"/>
          <w:highlight w:val="none"/>
          <w:lang w:eastAsia="zh-CN"/>
        </w:rPr>
        <w:t>”）</w:t>
      </w:r>
      <w:r>
        <w:rPr>
          <w:rFonts w:hint="eastAsia" w:ascii="宋体" w:hAnsi="宋体"/>
          <w:highlight w:val="none"/>
        </w:rPr>
        <w:t>。</w:t>
      </w:r>
    </w:p>
    <w:p>
      <w:pPr>
        <w:tabs>
          <w:tab w:val="left" w:pos="546"/>
          <w:tab w:val="left" w:pos="711"/>
        </w:tabs>
        <w:snapToGrid w:val="0"/>
        <w:ind w:firstLine="480"/>
        <w:rPr>
          <w:rFonts w:ascii="宋体" w:hAnsi="宋体"/>
          <w:highlight w:val="none"/>
        </w:rPr>
      </w:pPr>
      <w:r>
        <w:rPr>
          <w:rFonts w:hint="eastAsia" w:ascii="宋体" w:hAnsi="宋体"/>
          <w:highlight w:val="none"/>
          <w:lang w:eastAsia="zh-CN"/>
        </w:rPr>
        <w:t>维保</w:t>
      </w:r>
      <w:r>
        <w:rPr>
          <w:rFonts w:hint="eastAsia" w:ascii="宋体" w:hAnsi="宋体"/>
          <w:highlight w:val="none"/>
        </w:rPr>
        <w:t>期限：花器、</w:t>
      </w:r>
      <w:r>
        <w:rPr>
          <w:rFonts w:hint="eastAsia" w:ascii="宋体" w:hAnsi="宋体"/>
          <w:highlight w:val="none"/>
          <w:lang w:eastAsia="zh-CN"/>
        </w:rPr>
        <w:t>组合花架、</w:t>
      </w:r>
      <w:r>
        <w:rPr>
          <w:rFonts w:hint="eastAsia" w:ascii="宋体" w:hAnsi="宋体"/>
          <w:highlight w:val="none"/>
        </w:rPr>
        <w:t>仿真植物及壁挂提供</w:t>
      </w:r>
      <w:r>
        <w:rPr>
          <w:rFonts w:hint="eastAsia" w:ascii="宋体" w:hAnsi="宋体"/>
          <w:highlight w:val="none"/>
          <w:lang w:eastAsia="zh-CN"/>
        </w:rPr>
        <w:t>一年维保期限。</w:t>
      </w:r>
    </w:p>
    <w:p>
      <w:pPr>
        <w:tabs>
          <w:tab w:val="left" w:pos="546"/>
          <w:tab w:val="left" w:pos="711"/>
        </w:tabs>
        <w:snapToGrid w:val="0"/>
        <w:ind w:firstLine="480"/>
        <w:rPr>
          <w:rFonts w:ascii="宋体" w:hAnsi="宋体"/>
          <w:highlight w:val="none"/>
        </w:rPr>
      </w:pPr>
      <w:r>
        <w:rPr>
          <w:rFonts w:hint="eastAsia" w:ascii="宋体" w:hAnsi="宋体"/>
          <w:highlight w:val="none"/>
        </w:rPr>
        <w:t>服务期限：自合同签订之日起一年。</w:t>
      </w:r>
    </w:p>
    <w:p>
      <w:pPr>
        <w:pStyle w:val="4"/>
        <w:spacing w:line="240" w:lineRule="auto"/>
        <w:ind w:firstLine="0" w:firstLineChars="0"/>
        <w:rPr>
          <w:rFonts w:asciiTheme="minorEastAsia" w:hAnsiTheme="minorEastAsia" w:eastAsiaTheme="minorEastAsia"/>
          <w:color w:val="auto"/>
          <w:highlight w:val="none"/>
        </w:rPr>
      </w:pPr>
      <w:bookmarkStart w:id="24" w:name="_Toc5801"/>
      <w:bookmarkStart w:id="25" w:name="_Toc4527"/>
      <w:bookmarkStart w:id="26" w:name="_Toc17908"/>
      <w:bookmarkStart w:id="27" w:name="_Toc21917"/>
      <w:r>
        <w:rPr>
          <w:rFonts w:hint="eastAsia" w:asciiTheme="minorEastAsia" w:hAnsiTheme="minorEastAsia" w:eastAsiaTheme="minorEastAsia"/>
          <w:color w:val="auto"/>
          <w:highlight w:val="none"/>
        </w:rPr>
        <w:t>3. 比选响应人资格要求</w:t>
      </w:r>
      <w:bookmarkEnd w:id="24"/>
      <w:bookmarkEnd w:id="25"/>
      <w:bookmarkEnd w:id="26"/>
      <w:bookmarkEnd w:id="27"/>
    </w:p>
    <w:p>
      <w:pPr>
        <w:tabs>
          <w:tab w:val="left" w:pos="546"/>
          <w:tab w:val="left" w:pos="711"/>
        </w:tabs>
        <w:snapToGrid w:val="0"/>
        <w:ind w:firstLine="480" w:firstLineChars="200"/>
        <w:rPr>
          <w:rFonts w:ascii="宋体" w:hAnsi="宋体"/>
          <w:highlight w:val="none"/>
        </w:rPr>
      </w:pPr>
      <w:r>
        <w:rPr>
          <w:rFonts w:hint="eastAsia" w:ascii="宋体" w:hAnsi="宋体"/>
          <w:highlight w:val="none"/>
        </w:rPr>
        <w:t>3.1 本次比选采购实行资格后审，比选响应人须满足下列资格业绩要求：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3.1.1 为中华人民共和国依法注册的企业法人，企业所持的有效营业执照经营范围须包含园林绿化养护管理，种植、销售、租赁：花卉、绿色植物，城镇绿化苗木、花卉生产经营，植物租摆，园林绿化工程设计、施工，公园管理（具有其中一项即可），取得经营许可的企业法人（提供有效的营业执照复印件并盖单位鲜章）。</w:t>
      </w:r>
    </w:p>
    <w:p>
      <w:pPr>
        <w:tabs>
          <w:tab w:val="left" w:pos="546"/>
          <w:tab w:val="left" w:pos="711"/>
        </w:tabs>
        <w:snapToGrid w:val="0"/>
        <w:ind w:firstLine="480"/>
        <w:rPr>
          <w:rFonts w:ascii="宋体" w:hAnsi="宋体"/>
          <w:highlight w:val="none"/>
        </w:rPr>
      </w:pPr>
      <w:r>
        <w:rPr>
          <w:rFonts w:hint="eastAsia" w:ascii="宋体" w:hAnsi="宋体"/>
          <w:highlight w:val="none"/>
        </w:rPr>
        <w:t>3.2.2 能开具增值税专用发票（提供有效的资质证书复印件并盖单位鲜章）。</w:t>
      </w:r>
    </w:p>
    <w:p>
      <w:pPr>
        <w:tabs>
          <w:tab w:val="left" w:pos="546"/>
          <w:tab w:val="left" w:pos="711"/>
        </w:tabs>
        <w:snapToGrid w:val="0"/>
        <w:ind w:firstLine="480"/>
        <w:rPr>
          <w:rFonts w:ascii="宋体" w:hAnsi="宋体"/>
          <w:highlight w:val="none"/>
        </w:rPr>
      </w:pPr>
      <w:r>
        <w:rPr>
          <w:rFonts w:hint="eastAsia" w:ascii="宋体" w:hAnsi="宋体"/>
          <w:highlight w:val="none"/>
        </w:rPr>
        <w:t>3.2 法定代表人为同一个人的两个及两个以上法人，母公司、全资子公司及其控股公司，以及其他形式有管理关系的比选响应人，都不得在同一比选项目中同时投标。</w:t>
      </w:r>
    </w:p>
    <w:p>
      <w:pPr>
        <w:tabs>
          <w:tab w:val="left" w:pos="546"/>
          <w:tab w:val="left" w:pos="711"/>
        </w:tabs>
        <w:snapToGrid w:val="0"/>
        <w:ind w:firstLine="480"/>
        <w:rPr>
          <w:rFonts w:ascii="宋体" w:hAnsi="宋体"/>
          <w:highlight w:val="none"/>
        </w:rPr>
      </w:pPr>
      <w:r>
        <w:rPr>
          <w:rFonts w:hint="eastAsia" w:ascii="宋体" w:hAnsi="宋体"/>
          <w:highlight w:val="none"/>
        </w:rPr>
        <w:t>3.3 本次比选采购不允许联合体投标。</w:t>
      </w:r>
    </w:p>
    <w:p>
      <w:pPr>
        <w:pStyle w:val="4"/>
        <w:spacing w:line="240" w:lineRule="auto"/>
        <w:ind w:firstLine="0" w:firstLineChars="0"/>
        <w:rPr>
          <w:rFonts w:asciiTheme="minorEastAsia" w:hAnsiTheme="minorEastAsia" w:eastAsiaTheme="minorEastAsia"/>
          <w:color w:val="auto"/>
          <w:highlight w:val="none"/>
        </w:rPr>
      </w:pPr>
      <w:bookmarkStart w:id="28" w:name="_Toc459888223"/>
      <w:bookmarkStart w:id="29" w:name="_Toc13748"/>
      <w:bookmarkStart w:id="30" w:name="_Toc8808"/>
      <w:bookmarkStart w:id="31" w:name="_Toc20113"/>
      <w:bookmarkStart w:id="32" w:name="_Toc20225"/>
      <w:r>
        <w:rPr>
          <w:rFonts w:hint="eastAsia" w:asciiTheme="minorEastAsia" w:hAnsiTheme="minorEastAsia" w:eastAsiaTheme="minorEastAsia"/>
          <w:color w:val="auto"/>
          <w:highlight w:val="none"/>
        </w:rPr>
        <w:t xml:space="preserve">4. </w:t>
      </w:r>
      <w:bookmarkEnd w:id="28"/>
      <w:r>
        <w:rPr>
          <w:rFonts w:hint="eastAsia" w:asciiTheme="minorEastAsia" w:hAnsiTheme="minorEastAsia" w:eastAsiaTheme="minorEastAsia"/>
          <w:color w:val="auto"/>
          <w:highlight w:val="none"/>
        </w:rPr>
        <w:t>比选文件的获取</w:t>
      </w:r>
      <w:bookmarkEnd w:id="29"/>
      <w:bookmarkEnd w:id="30"/>
      <w:bookmarkEnd w:id="31"/>
      <w:bookmarkEnd w:id="32"/>
    </w:p>
    <w:p>
      <w:pPr>
        <w:ind w:firstLine="480"/>
        <w:rPr>
          <w:highlight w:val="none"/>
        </w:rPr>
      </w:pPr>
      <w:r>
        <w:rPr>
          <w:rFonts w:hint="eastAsia"/>
          <w:highlight w:val="none"/>
        </w:rPr>
        <w:t>获取时间：从2020年</w:t>
      </w:r>
      <w:r>
        <w:rPr>
          <w:rFonts w:hint="eastAsia"/>
          <w:highlight w:val="none"/>
          <w:lang w:val="en-US" w:eastAsia="zh-CN"/>
        </w:rPr>
        <w:t>6</w:t>
      </w:r>
      <w:r>
        <w:rPr>
          <w:rFonts w:hint="eastAsia"/>
          <w:highlight w:val="none"/>
        </w:rPr>
        <w:t>月</w:t>
      </w:r>
      <w:r>
        <w:rPr>
          <w:rFonts w:hint="eastAsia"/>
          <w:highlight w:val="none"/>
          <w:lang w:val="en-US" w:eastAsia="zh-CN"/>
        </w:rPr>
        <w:t>11</w:t>
      </w:r>
      <w:r>
        <w:rPr>
          <w:rFonts w:hint="eastAsia"/>
          <w:highlight w:val="none"/>
        </w:rPr>
        <w:t>日起至投标截止日止。</w:t>
      </w:r>
    </w:p>
    <w:p>
      <w:pPr>
        <w:ind w:firstLine="480"/>
        <w:rPr>
          <w:highlight w:val="none"/>
        </w:rPr>
      </w:pPr>
      <w:r>
        <w:rPr>
          <w:rFonts w:hint="eastAsia"/>
          <w:highlight w:val="none"/>
        </w:rPr>
        <w:t>获取方式：潜在比选响应人无需事前报名。凡有意参加比选者，请于2020年</w:t>
      </w:r>
      <w:r>
        <w:rPr>
          <w:rFonts w:hint="eastAsia"/>
          <w:highlight w:val="none"/>
          <w:lang w:val="en-US" w:eastAsia="zh-CN"/>
        </w:rPr>
        <w:t>6</w:t>
      </w:r>
      <w:r>
        <w:rPr>
          <w:rFonts w:hint="eastAsia"/>
          <w:highlight w:val="none"/>
        </w:rPr>
        <w:t>月</w:t>
      </w:r>
      <w:r>
        <w:rPr>
          <w:rFonts w:hint="eastAsia"/>
          <w:highlight w:val="none"/>
          <w:lang w:val="en-US" w:eastAsia="zh-CN"/>
        </w:rPr>
        <w:t>11</w:t>
      </w:r>
      <w:r>
        <w:rPr>
          <w:rFonts w:hint="eastAsia"/>
          <w:highlight w:val="none"/>
        </w:rPr>
        <w:t>日起，在重庆江北机场官网（www.cqa.cn）下载比选文件、答疑、补遗等比选前的有关资料。从比选公告发布之日起，各比选响应人应当随时关注重庆江北机场官网（www.cqa.cn）所发布的与该比选项目有关的各项资料，各比选响应人不管下载与否都将被视为全部知晓该必选项目的所有过程和全部事宜。</w:t>
      </w:r>
    </w:p>
    <w:p>
      <w:pPr>
        <w:pStyle w:val="4"/>
        <w:spacing w:line="240" w:lineRule="auto"/>
        <w:ind w:firstLine="0" w:firstLineChars="0"/>
        <w:rPr>
          <w:rFonts w:asciiTheme="minorEastAsia" w:hAnsiTheme="minorEastAsia" w:eastAsiaTheme="minorEastAsia"/>
          <w:color w:val="auto"/>
          <w:highlight w:val="none"/>
        </w:rPr>
      </w:pPr>
      <w:bookmarkStart w:id="33" w:name="_Toc459888225"/>
      <w:bookmarkStart w:id="34" w:name="_Toc9920"/>
      <w:bookmarkStart w:id="35" w:name="_Toc17269"/>
      <w:bookmarkStart w:id="36" w:name="_Toc22561"/>
      <w:bookmarkStart w:id="37" w:name="_Toc10431"/>
      <w:r>
        <w:rPr>
          <w:rFonts w:hint="eastAsia" w:asciiTheme="minorEastAsia" w:hAnsiTheme="minorEastAsia" w:eastAsiaTheme="minorEastAsia"/>
          <w:color w:val="auto"/>
          <w:highlight w:val="none"/>
        </w:rPr>
        <w:t xml:space="preserve">5. </w:t>
      </w:r>
      <w:bookmarkEnd w:id="33"/>
      <w:r>
        <w:rPr>
          <w:rFonts w:hint="eastAsia" w:asciiTheme="minorEastAsia" w:hAnsiTheme="minorEastAsia" w:eastAsiaTheme="minorEastAsia"/>
          <w:color w:val="auto"/>
          <w:highlight w:val="none"/>
        </w:rPr>
        <w:t>比选响应文件的递交</w:t>
      </w:r>
      <w:bookmarkEnd w:id="34"/>
      <w:bookmarkEnd w:id="35"/>
      <w:bookmarkEnd w:id="36"/>
      <w:bookmarkEnd w:id="37"/>
    </w:p>
    <w:p>
      <w:pPr>
        <w:ind w:firstLine="480"/>
        <w:rPr>
          <w:highlight w:val="none"/>
        </w:rPr>
      </w:pPr>
      <w:r>
        <w:rPr>
          <w:rFonts w:hint="eastAsia"/>
          <w:highlight w:val="none"/>
        </w:rPr>
        <w:t>递交截止时间：</w:t>
      </w:r>
      <w:r>
        <w:rPr>
          <w:rFonts w:hint="eastAsia"/>
          <w:highlight w:val="none"/>
          <w:lang w:val="en-US" w:eastAsia="zh-CN"/>
        </w:rPr>
        <w:t>2020</w:t>
      </w:r>
      <w:r>
        <w:rPr>
          <w:rFonts w:hint="eastAsia"/>
          <w:highlight w:val="none"/>
        </w:rPr>
        <w:t> 年</w:t>
      </w:r>
      <w:bookmarkStart w:id="352" w:name="_GoBack"/>
      <w:bookmarkEnd w:id="352"/>
      <w:r>
        <w:rPr>
          <w:rFonts w:hint="eastAsia"/>
          <w:highlight w:val="none"/>
          <w:lang w:val="en-US" w:eastAsia="zh-CN"/>
        </w:rPr>
        <w:t>6</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10</w:t>
      </w:r>
      <w:r>
        <w:rPr>
          <w:rFonts w:hint="eastAsia"/>
          <w:highlight w:val="none"/>
        </w:rPr>
        <w:t> 时 </w:t>
      </w:r>
      <w:r>
        <w:rPr>
          <w:rFonts w:hint="eastAsia"/>
          <w:highlight w:val="none"/>
          <w:lang w:val="en-US" w:eastAsia="zh-CN"/>
        </w:rPr>
        <w:t>00</w:t>
      </w:r>
      <w:r>
        <w:rPr>
          <w:rFonts w:hint="eastAsia"/>
          <w:highlight w:val="none"/>
        </w:rPr>
        <w:t>分</w:t>
      </w:r>
    </w:p>
    <w:p>
      <w:pPr>
        <w:ind w:firstLine="480"/>
        <w:rPr>
          <w:highlight w:val="none"/>
        </w:rPr>
      </w:pPr>
      <w:r>
        <w:rPr>
          <w:rFonts w:hint="eastAsia"/>
          <w:highlight w:val="none"/>
        </w:rPr>
        <w:t>递交方式：比选响应文件递交至</w:t>
      </w:r>
      <w:r>
        <w:rPr>
          <w:rFonts w:hint="eastAsia"/>
          <w:highlight w:val="none"/>
          <w:lang w:eastAsia="zh-CN"/>
        </w:rPr>
        <w:t>江北机场</w:t>
      </w:r>
      <w:r>
        <w:rPr>
          <w:rFonts w:hint="eastAsia"/>
          <w:highlight w:val="none"/>
          <w:lang w:val="en-US" w:eastAsia="zh-CN"/>
        </w:rPr>
        <w:t>T3A航站楼31117房间（东航站区派出所旁）</w:t>
      </w:r>
      <w:r>
        <w:rPr>
          <w:rFonts w:hint="eastAsia"/>
          <w:highlight w:val="none"/>
        </w:rPr>
        <w:t>。逾期送达的、未送达指定地点的或者不按照比选文件要求密封的比选响应文件，采购人将予以拒收。</w:t>
      </w:r>
    </w:p>
    <w:p>
      <w:pPr>
        <w:pStyle w:val="4"/>
        <w:spacing w:line="240" w:lineRule="auto"/>
        <w:ind w:firstLine="0" w:firstLineChars="0"/>
        <w:rPr>
          <w:color w:val="auto"/>
          <w:highlight w:val="none"/>
        </w:rPr>
      </w:pPr>
      <w:bookmarkStart w:id="38" w:name="_Toc459888226"/>
      <w:bookmarkStart w:id="39" w:name="_Toc21646"/>
      <w:bookmarkStart w:id="40" w:name="_Toc32483"/>
      <w:bookmarkStart w:id="41" w:name="_Toc25759"/>
      <w:bookmarkStart w:id="42" w:name="_Toc2677"/>
      <w:r>
        <w:rPr>
          <w:rFonts w:hint="eastAsia" w:asciiTheme="minorEastAsia" w:hAnsiTheme="minorEastAsia" w:eastAsiaTheme="minorEastAsia"/>
          <w:color w:val="auto"/>
          <w:highlight w:val="none"/>
        </w:rPr>
        <w:t>6．</w:t>
      </w:r>
      <w:bookmarkEnd w:id="38"/>
      <w:r>
        <w:rPr>
          <w:rFonts w:hint="eastAsia" w:asciiTheme="minorEastAsia" w:hAnsiTheme="minorEastAsia" w:eastAsiaTheme="minorEastAsia"/>
          <w:color w:val="auto"/>
          <w:highlight w:val="none"/>
        </w:rPr>
        <w:t>比选时间及地点</w:t>
      </w:r>
      <w:bookmarkEnd w:id="39"/>
      <w:bookmarkEnd w:id="40"/>
      <w:bookmarkEnd w:id="41"/>
      <w:bookmarkEnd w:id="42"/>
    </w:p>
    <w:p>
      <w:pPr>
        <w:pStyle w:val="24"/>
        <w:widowControl/>
        <w:shd w:val="clear" w:color="auto" w:fill="FFFFFF"/>
        <w:spacing w:beforeAutospacing="0" w:afterAutospacing="0" w:line="360" w:lineRule="atLeast"/>
        <w:ind w:firstLine="420"/>
        <w:rPr>
          <w:rFonts w:cstheme="minorBidi"/>
          <w:kern w:val="2"/>
          <w:highlight w:val="none"/>
        </w:rPr>
      </w:pPr>
      <w:bookmarkStart w:id="43" w:name="_Toc459888227"/>
      <w:r>
        <w:rPr>
          <w:rFonts w:hint="eastAsia" w:cstheme="minorBidi"/>
          <w:kern w:val="2"/>
          <w:highlight w:val="none"/>
        </w:rPr>
        <w:t>比选时间：</w:t>
      </w:r>
      <w:r>
        <w:rPr>
          <w:rFonts w:hint="eastAsia" w:cstheme="minorBidi"/>
          <w:kern w:val="2"/>
          <w:highlight w:val="none"/>
          <w:lang w:val="en-US" w:eastAsia="zh-CN"/>
        </w:rPr>
        <w:t>2020</w:t>
      </w:r>
      <w:r>
        <w:rPr>
          <w:rFonts w:hint="eastAsia" w:cstheme="minorBidi"/>
          <w:kern w:val="2"/>
          <w:highlight w:val="none"/>
        </w:rPr>
        <w:t>年 </w:t>
      </w:r>
      <w:r>
        <w:rPr>
          <w:rFonts w:hint="eastAsia" w:cstheme="minorBidi"/>
          <w:kern w:val="2"/>
          <w:highlight w:val="none"/>
          <w:lang w:val="en-US" w:eastAsia="zh-CN"/>
        </w:rPr>
        <w:t>6</w:t>
      </w:r>
      <w:r>
        <w:rPr>
          <w:rFonts w:hint="eastAsia" w:cstheme="minorBidi"/>
          <w:kern w:val="2"/>
          <w:highlight w:val="none"/>
        </w:rPr>
        <w:t> 月 </w:t>
      </w:r>
      <w:r>
        <w:rPr>
          <w:rFonts w:hint="eastAsia" w:cstheme="minorBidi"/>
          <w:kern w:val="2"/>
          <w:highlight w:val="none"/>
          <w:lang w:val="en-US" w:eastAsia="zh-CN"/>
        </w:rPr>
        <w:t>16</w:t>
      </w:r>
      <w:r>
        <w:rPr>
          <w:rFonts w:hint="eastAsia" w:cstheme="minorBidi"/>
          <w:kern w:val="2"/>
          <w:highlight w:val="none"/>
        </w:rPr>
        <w:t> 日 </w:t>
      </w:r>
      <w:r>
        <w:rPr>
          <w:rFonts w:hint="eastAsia" w:cstheme="minorBidi"/>
          <w:kern w:val="2"/>
          <w:highlight w:val="none"/>
          <w:lang w:val="en-US" w:eastAsia="zh-CN"/>
        </w:rPr>
        <w:t>10</w:t>
      </w:r>
      <w:r>
        <w:rPr>
          <w:rFonts w:hint="eastAsia" w:cstheme="minorBidi"/>
          <w:kern w:val="2"/>
          <w:highlight w:val="none"/>
        </w:rPr>
        <w:t> 时</w:t>
      </w:r>
      <w:r>
        <w:rPr>
          <w:rFonts w:hint="eastAsia" w:cstheme="minorBidi"/>
          <w:kern w:val="2"/>
          <w:highlight w:val="none"/>
          <w:lang w:val="en-US" w:eastAsia="zh-CN"/>
        </w:rPr>
        <w:t>00</w:t>
      </w:r>
      <w:r>
        <w:rPr>
          <w:rFonts w:hint="eastAsia" w:cstheme="minorBidi"/>
          <w:kern w:val="2"/>
          <w:highlight w:val="none"/>
        </w:rPr>
        <w:t>分</w:t>
      </w:r>
    </w:p>
    <w:p>
      <w:pPr>
        <w:pStyle w:val="24"/>
        <w:widowControl/>
        <w:shd w:val="clear" w:color="auto" w:fill="FFFFFF"/>
        <w:spacing w:beforeAutospacing="0" w:afterAutospacing="0" w:line="360" w:lineRule="atLeast"/>
        <w:ind w:firstLine="420"/>
        <w:rPr>
          <w:rFonts w:hint="eastAsia" w:cstheme="minorBidi"/>
          <w:kern w:val="2"/>
          <w:highlight w:val="none"/>
        </w:rPr>
      </w:pPr>
      <w:r>
        <w:rPr>
          <w:rFonts w:hint="eastAsia" w:cstheme="minorBidi"/>
          <w:kern w:val="2"/>
          <w:highlight w:val="none"/>
        </w:rPr>
        <w:t>比选地点：</w:t>
      </w:r>
      <w:r>
        <w:rPr>
          <w:rFonts w:hint="eastAsia"/>
          <w:highlight w:val="none"/>
          <w:lang w:eastAsia="zh-CN"/>
        </w:rPr>
        <w:t>江北机场</w:t>
      </w:r>
      <w:r>
        <w:rPr>
          <w:rFonts w:hint="eastAsia"/>
          <w:highlight w:val="none"/>
          <w:lang w:val="en-US" w:eastAsia="zh-CN"/>
        </w:rPr>
        <w:t>T3A航站楼31117房间（东航站区派出所旁）</w:t>
      </w:r>
    </w:p>
    <w:p>
      <w:pPr>
        <w:pStyle w:val="4"/>
        <w:spacing w:line="240" w:lineRule="auto"/>
        <w:ind w:firstLine="0" w:firstLineChars="0"/>
        <w:rPr>
          <w:color w:val="auto"/>
          <w:highlight w:val="none"/>
        </w:rPr>
      </w:pPr>
      <w:bookmarkStart w:id="44" w:name="_Toc28691"/>
      <w:bookmarkStart w:id="45" w:name="_Toc28762"/>
      <w:bookmarkStart w:id="46" w:name="_Toc15061"/>
      <w:bookmarkStart w:id="47" w:name="_Toc29374"/>
      <w:r>
        <w:rPr>
          <w:rFonts w:hint="eastAsia" w:asciiTheme="minorEastAsia" w:hAnsiTheme="minorEastAsia" w:eastAsiaTheme="minorEastAsia"/>
          <w:color w:val="auto"/>
          <w:highlight w:val="none"/>
        </w:rPr>
        <w:t>7．</w:t>
      </w:r>
      <w:r>
        <w:rPr>
          <w:rFonts w:hint="eastAsia"/>
          <w:color w:val="auto"/>
          <w:highlight w:val="none"/>
        </w:rPr>
        <w:t>现场踏勘</w:t>
      </w:r>
      <w:bookmarkEnd w:id="43"/>
      <w:bookmarkEnd w:id="44"/>
      <w:bookmarkEnd w:id="45"/>
      <w:bookmarkEnd w:id="46"/>
      <w:bookmarkEnd w:id="47"/>
    </w:p>
    <w:p>
      <w:pPr>
        <w:tabs>
          <w:tab w:val="left" w:pos="546"/>
          <w:tab w:val="left" w:pos="711"/>
        </w:tabs>
        <w:snapToGrid w:val="0"/>
        <w:ind w:firstLine="470" w:firstLineChars="196"/>
        <w:rPr>
          <w:highlight w:val="none"/>
        </w:rPr>
      </w:pPr>
      <w:r>
        <w:rPr>
          <w:rFonts w:hint="eastAsia"/>
          <w:highlight w:val="none"/>
        </w:rPr>
        <w:t>不组织统一踏勘现场。</w:t>
      </w:r>
      <w:bookmarkStart w:id="48" w:name="_Toc459888229"/>
    </w:p>
    <w:p>
      <w:pPr>
        <w:pStyle w:val="4"/>
        <w:spacing w:line="240" w:lineRule="auto"/>
        <w:ind w:firstLine="0" w:firstLineChars="0"/>
        <w:rPr>
          <w:color w:val="auto"/>
          <w:highlight w:val="none"/>
        </w:rPr>
      </w:pPr>
      <w:bookmarkStart w:id="49" w:name="_Toc32106"/>
      <w:bookmarkStart w:id="50" w:name="_Toc19577"/>
      <w:bookmarkStart w:id="51" w:name="_Toc19192"/>
      <w:bookmarkStart w:id="52" w:name="_Toc14099"/>
      <w:r>
        <w:rPr>
          <w:rFonts w:hint="eastAsia" w:asciiTheme="majorEastAsia" w:hAnsiTheme="majorEastAsia" w:eastAsiaTheme="majorEastAsia"/>
          <w:color w:val="auto"/>
          <w:highlight w:val="none"/>
        </w:rPr>
        <w:t>8．</w:t>
      </w:r>
      <w:r>
        <w:rPr>
          <w:rFonts w:hint="eastAsia"/>
          <w:color w:val="auto"/>
          <w:highlight w:val="none"/>
        </w:rPr>
        <w:t>监督部门</w:t>
      </w:r>
      <w:bookmarkEnd w:id="49"/>
      <w:bookmarkEnd w:id="50"/>
      <w:bookmarkEnd w:id="51"/>
      <w:bookmarkEnd w:id="52"/>
    </w:p>
    <w:p>
      <w:pPr>
        <w:tabs>
          <w:tab w:val="left" w:pos="546"/>
          <w:tab w:val="left" w:pos="711"/>
        </w:tabs>
        <w:snapToGrid w:val="0"/>
        <w:ind w:firstLine="470" w:firstLineChars="196"/>
        <w:rPr>
          <w:highlight w:val="none"/>
          <w:u w:val="single"/>
        </w:rPr>
      </w:pPr>
      <w:r>
        <w:rPr>
          <w:rFonts w:hint="eastAsia"/>
          <w:highlight w:val="none"/>
        </w:rPr>
        <w:t>本比选项目的监督部门为重庆机场集团有限公司航站楼管理部监督小组。</w:t>
      </w:r>
    </w:p>
    <w:p>
      <w:pPr>
        <w:pStyle w:val="4"/>
        <w:spacing w:line="240" w:lineRule="auto"/>
        <w:ind w:firstLine="0" w:firstLineChars="0"/>
        <w:rPr>
          <w:rFonts w:eastAsiaTheme="minorEastAsia"/>
          <w:color w:val="auto"/>
          <w:highlight w:val="none"/>
        </w:rPr>
      </w:pPr>
      <w:bookmarkStart w:id="53" w:name="_Toc16950"/>
      <w:bookmarkStart w:id="54" w:name="_Toc2459"/>
      <w:bookmarkStart w:id="55" w:name="_Toc19808"/>
      <w:bookmarkStart w:id="56" w:name="_Toc22163"/>
      <w:r>
        <w:rPr>
          <w:rFonts w:hint="eastAsia" w:asciiTheme="minorEastAsia" w:hAnsiTheme="minorEastAsia" w:eastAsiaTheme="minorEastAsia"/>
          <w:color w:val="auto"/>
          <w:highlight w:val="none"/>
        </w:rPr>
        <w:t>9．</w:t>
      </w:r>
      <w:bookmarkEnd w:id="48"/>
      <w:r>
        <w:rPr>
          <w:rFonts w:hint="eastAsia" w:eastAsiaTheme="minorEastAsia"/>
          <w:color w:val="auto"/>
          <w:highlight w:val="none"/>
        </w:rPr>
        <w:t>联系方式</w:t>
      </w:r>
      <w:bookmarkEnd w:id="53"/>
      <w:bookmarkEnd w:id="54"/>
      <w:bookmarkEnd w:id="55"/>
      <w:bookmarkEnd w:id="56"/>
    </w:p>
    <w:p>
      <w:pPr>
        <w:tabs>
          <w:tab w:val="left" w:pos="546"/>
          <w:tab w:val="left" w:pos="711"/>
        </w:tabs>
        <w:snapToGrid w:val="0"/>
        <w:ind w:firstLine="470" w:firstLineChars="196"/>
        <w:rPr>
          <w:highlight w:val="none"/>
        </w:rPr>
      </w:pPr>
      <w:r>
        <w:rPr>
          <w:rFonts w:hint="eastAsia"/>
          <w:highlight w:val="none"/>
        </w:rPr>
        <w:t>采购人：重庆机场集团有限公司航站楼管理部</w:t>
      </w:r>
    </w:p>
    <w:p>
      <w:pPr>
        <w:tabs>
          <w:tab w:val="left" w:pos="546"/>
          <w:tab w:val="left" w:pos="711"/>
        </w:tabs>
        <w:snapToGrid w:val="0"/>
        <w:ind w:firstLine="470" w:firstLineChars="196"/>
        <w:rPr>
          <w:highlight w:val="none"/>
        </w:rPr>
      </w:pPr>
      <w:r>
        <w:rPr>
          <w:rFonts w:hint="eastAsia"/>
          <w:highlight w:val="none"/>
        </w:rPr>
        <w:t>地址：重庆江北</w:t>
      </w:r>
      <w:r>
        <w:rPr>
          <w:rFonts w:hint="eastAsia"/>
          <w:highlight w:val="none"/>
          <w:lang w:eastAsia="zh-CN"/>
        </w:rPr>
        <w:t>国际</w:t>
      </w:r>
      <w:r>
        <w:rPr>
          <w:rFonts w:hint="eastAsia"/>
          <w:highlight w:val="none"/>
        </w:rPr>
        <w:t>机场</w:t>
      </w:r>
    </w:p>
    <w:p>
      <w:pPr>
        <w:tabs>
          <w:tab w:val="left" w:pos="546"/>
          <w:tab w:val="left" w:pos="711"/>
        </w:tabs>
        <w:snapToGrid w:val="0"/>
        <w:ind w:firstLine="470" w:firstLineChars="196"/>
        <w:rPr>
          <w:highlight w:val="none"/>
        </w:rPr>
      </w:pPr>
      <w:r>
        <w:rPr>
          <w:rFonts w:hint="eastAsia"/>
          <w:highlight w:val="none"/>
        </w:rPr>
        <w:t>联系人：黄</w:t>
      </w:r>
      <w:r>
        <w:rPr>
          <w:rFonts w:hint="eastAsia"/>
          <w:highlight w:val="none"/>
          <w:lang w:eastAsia="zh-CN"/>
        </w:rPr>
        <w:t>先生</w:t>
      </w:r>
      <w:r>
        <w:rPr>
          <w:rFonts w:hint="eastAsia"/>
          <w:highlight w:val="none"/>
        </w:rPr>
        <w:t> </w:t>
      </w:r>
    </w:p>
    <w:p>
      <w:pPr>
        <w:tabs>
          <w:tab w:val="left" w:pos="546"/>
          <w:tab w:val="left" w:pos="711"/>
        </w:tabs>
        <w:snapToGrid w:val="0"/>
        <w:ind w:firstLine="470" w:firstLineChars="196"/>
        <w:rPr>
          <w:highlight w:val="none"/>
        </w:rPr>
        <w:sectPr>
          <w:headerReference r:id="rId11" w:type="first"/>
          <w:footerReference r:id="rId13" w:type="first"/>
          <w:footerReference r:id="rId12" w:type="default"/>
          <w:pgSz w:w="11906" w:h="16838"/>
          <w:pgMar w:top="1440" w:right="1644" w:bottom="1440" w:left="1644" w:header="850" w:footer="794" w:gutter="0"/>
          <w:pgNumType w:start="1"/>
          <w:cols w:space="720" w:num="1"/>
          <w:titlePg/>
          <w:docGrid w:linePitch="326" w:charSpace="0"/>
        </w:sectPr>
      </w:pPr>
      <w:r>
        <w:rPr>
          <w:rFonts w:hint="eastAsia"/>
          <w:highlight w:val="none"/>
        </w:rPr>
        <w:t>电话：023-67153075</w:t>
      </w:r>
      <w:bookmarkStart w:id="57" w:name="_Toc459888232"/>
      <w:bookmarkStart w:id="58" w:name="_Toc325034223"/>
    </w:p>
    <w:p>
      <w:pPr>
        <w:pStyle w:val="3"/>
        <w:numPr>
          <w:ilvl w:val="0"/>
          <w:numId w:val="1"/>
        </w:numPr>
        <w:ind w:firstLine="0" w:firstLineChars="0"/>
        <w:rPr>
          <w:highlight w:val="none"/>
        </w:rPr>
      </w:pPr>
      <w:bookmarkStart w:id="59" w:name="_Toc5601"/>
      <w:bookmarkStart w:id="60" w:name="_Toc11346"/>
      <w:bookmarkStart w:id="61" w:name="_Toc26974"/>
      <w:bookmarkStart w:id="62" w:name="_Toc920"/>
      <w:r>
        <w:rPr>
          <w:rFonts w:hint="eastAsia"/>
          <w:highlight w:val="none"/>
        </w:rPr>
        <w:t>采购人需求</w:t>
      </w:r>
      <w:bookmarkEnd w:id="59"/>
      <w:bookmarkEnd w:id="60"/>
      <w:bookmarkEnd w:id="61"/>
      <w:bookmarkEnd w:id="62"/>
    </w:p>
    <w:p>
      <w:pPr>
        <w:pStyle w:val="4"/>
        <w:spacing w:line="240" w:lineRule="auto"/>
        <w:ind w:firstLine="0" w:firstLineChars="0"/>
        <w:rPr>
          <w:color w:val="auto"/>
          <w:highlight w:val="none"/>
        </w:rPr>
      </w:pPr>
      <w:bookmarkStart w:id="63" w:name="_Toc26464"/>
      <w:r>
        <w:rPr>
          <w:rFonts w:hint="eastAsia" w:asciiTheme="minorEastAsia" w:hAnsiTheme="minorEastAsia" w:eastAsiaTheme="minorEastAsia"/>
          <w:color w:val="auto"/>
          <w:highlight w:val="none"/>
        </w:rPr>
        <w:t>1. T2、T3A航站楼零星植物及花器采购项目采购需求表</w:t>
      </w:r>
      <w:bookmarkEnd w:id="63"/>
    </w:p>
    <w:tbl>
      <w:tblPr>
        <w:tblStyle w:val="26"/>
        <w:tblpPr w:leftFromText="180" w:rightFromText="180" w:vertAnchor="text" w:horzAnchor="page" w:tblpX="1483" w:tblpY="728"/>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268"/>
        <w:gridCol w:w="1843"/>
        <w:gridCol w:w="1134"/>
        <w:gridCol w:w="1134"/>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T2</w:t>
            </w:r>
          </w:p>
        </w:tc>
        <w:tc>
          <w:tcPr>
            <w:tcW w:w="850"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品种</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规格</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图样（仅供参考）</w:t>
            </w:r>
          </w:p>
        </w:tc>
        <w:tc>
          <w:tcPr>
            <w:tcW w:w="2693"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2336" behindDoc="0" locked="0" layoutInCell="1" allowOverlap="1">
                  <wp:simplePos x="0" y="0"/>
                  <wp:positionH relativeFrom="column">
                    <wp:posOffset>460375</wp:posOffset>
                  </wp:positionH>
                  <wp:positionV relativeFrom="paragraph">
                    <wp:posOffset>104140</wp:posOffset>
                  </wp:positionV>
                  <wp:extent cx="1133475" cy="11620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33475" cy="1162050"/>
                          </a:xfrm>
                          <a:prstGeom prst="rect">
                            <a:avLst/>
                          </a:prstGeom>
                          <a:noFill/>
                          <a:ln>
                            <a:noFill/>
                          </a:ln>
                        </pic:spPr>
                      </pic:pic>
                    </a:graphicData>
                  </a:graphic>
                </wp:anchor>
              </w:drawing>
            </w:r>
          </w:p>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需喷洒B1级防火剂，</w:t>
            </w: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多肉苔藓木框壁</w:t>
            </w:r>
            <w:r>
              <w:rPr>
                <w:rFonts w:hint="eastAsia" w:ascii="宋体" w:hAnsi="宋体" w:eastAsia="宋体" w:cs="宋体"/>
                <w:kern w:val="0"/>
                <w:sz w:val="21"/>
                <w:szCs w:val="21"/>
                <w:highlight w:val="none"/>
                <w:lang w:eastAsia="zh-CN"/>
              </w:rPr>
              <w:t>挂</w:t>
            </w:r>
            <w:r>
              <w:rPr>
                <w:rFonts w:hint="eastAsia" w:ascii="宋体" w:hAnsi="宋体" w:eastAsia="宋体" w:cs="宋体"/>
                <w:kern w:val="0"/>
                <w:sz w:val="21"/>
                <w:szCs w:val="21"/>
                <w:highlight w:val="none"/>
              </w:rPr>
              <w:t>（仿真植物）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H30cm*30cm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3360" behindDoc="0" locked="0" layoutInCell="1" allowOverlap="1">
                  <wp:simplePos x="0" y="0"/>
                  <wp:positionH relativeFrom="column">
                    <wp:posOffset>478790</wp:posOffset>
                  </wp:positionH>
                  <wp:positionV relativeFrom="paragraph">
                    <wp:posOffset>144780</wp:posOffset>
                  </wp:positionV>
                  <wp:extent cx="1104900" cy="1123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04900" cy="1123950"/>
                          </a:xfrm>
                          <a:prstGeom prst="rect">
                            <a:avLst/>
                          </a:prstGeom>
                          <a:noFill/>
                          <a:ln>
                            <a:noFill/>
                          </a:ln>
                        </pic:spPr>
                      </pic:pic>
                    </a:graphicData>
                  </a:graphic>
                </wp:anchor>
              </w:drawing>
            </w: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蝴蝶兰（粉红色）</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跳舞兰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龙舌兰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五彩千年木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H120-180cm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9</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针葵</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H200-220cm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老桩多头龙血树（五头以上）</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滴水观音</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哑光红色花器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H60cm*R50cm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4384" behindDoc="0" locked="0" layoutInCell="1" allowOverlap="1">
                  <wp:simplePos x="0" y="0"/>
                  <wp:positionH relativeFrom="column">
                    <wp:posOffset>579120</wp:posOffset>
                  </wp:positionH>
                  <wp:positionV relativeFrom="paragraph">
                    <wp:posOffset>60325</wp:posOffset>
                  </wp:positionV>
                  <wp:extent cx="1209675" cy="1228725"/>
                  <wp:effectExtent l="0" t="0" r="9525" b="9525"/>
                  <wp:wrapNone/>
                  <wp:docPr id="3" name="图片 3" descr="8144ce6a6001cd698b852acddeb3390a_575134b8Ndf01b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44ce6a6001cd698b852acddeb3390a_575134b8Ndf01bc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09675" cy="1228725"/>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哑光黑色花器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H60cm*R50cm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5408" behindDoc="0" locked="0" layoutInCell="1" allowOverlap="1">
                  <wp:simplePos x="0" y="0"/>
                  <wp:positionH relativeFrom="column">
                    <wp:posOffset>597535</wp:posOffset>
                  </wp:positionH>
                  <wp:positionV relativeFrom="paragraph">
                    <wp:posOffset>19050</wp:posOffset>
                  </wp:positionV>
                  <wp:extent cx="1190625" cy="1038225"/>
                  <wp:effectExtent l="0" t="0" r="9525" b="9525"/>
                  <wp:wrapNone/>
                  <wp:docPr id="4" name="图片 4" descr="9a7e82cd4a30fd27bbaf1faa94f56eb7_5_904_1193475_800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a7e82cd4a30fd27bbaf1faa94f56eb7_5_904_1193475_800_800"/>
                          <pic:cNvPicPr>
                            <a:picLocks noChangeAspect="1" noChangeArrowheads="1"/>
                          </pic:cNvPicPr>
                        </pic:nvPicPr>
                        <pic:blipFill>
                          <a:blip r:embed="rId28" cstate="print">
                            <a:extLst>
                              <a:ext uri="{28A0092B-C50C-407E-A947-70E740481C1C}">
                                <a14:useLocalDpi xmlns:a14="http://schemas.microsoft.com/office/drawing/2010/main" val="0"/>
                              </a:ext>
                            </a:extLst>
                          </a:blip>
                          <a:srcRect b="12700"/>
                          <a:stretch>
                            <a:fillRect/>
                          </a:stretch>
                        </pic:blipFill>
                        <pic:spPr>
                          <a:xfrm>
                            <a:off x="0" y="0"/>
                            <a:ext cx="1190625" cy="1038225"/>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托盘（大）</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D40cm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套盆</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D15cm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T3A</w:t>
            </w: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一品红</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变叶木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万年青</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H40-45cm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西洋杜鹃</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凤梨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玻璃钢花器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L200-300cm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4624" behindDoc="1" locked="0" layoutInCell="1" allowOverlap="1">
                  <wp:simplePos x="0" y="0"/>
                  <wp:positionH relativeFrom="column">
                    <wp:posOffset>145415</wp:posOffset>
                  </wp:positionH>
                  <wp:positionV relativeFrom="paragraph">
                    <wp:posOffset>200025</wp:posOffset>
                  </wp:positionV>
                  <wp:extent cx="1800225" cy="809625"/>
                  <wp:effectExtent l="0" t="0" r="9525" b="9525"/>
                  <wp:wrapNone/>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29"/>
                          <a:stretch>
                            <a:fillRect/>
                          </a:stretch>
                        </pic:blipFill>
                        <pic:spPr>
                          <a:xfrm>
                            <a:off x="0" y="0"/>
                            <a:ext cx="1800225" cy="809625"/>
                          </a:xfrm>
                          <a:prstGeom prst="rect">
                            <a:avLst/>
                          </a:prstGeom>
                        </pic:spPr>
                      </pic:pic>
                    </a:graphicData>
                  </a:graphic>
                </wp:anchor>
              </w:drawing>
            </w:r>
          </w:p>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玻璃钢花器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H100-120cm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9504" behindDoc="0" locked="0" layoutInCell="1" allowOverlap="1">
                  <wp:simplePos x="0" y="0"/>
                  <wp:positionH relativeFrom="column">
                    <wp:posOffset>641985</wp:posOffset>
                  </wp:positionH>
                  <wp:positionV relativeFrom="paragraph">
                    <wp:posOffset>96520</wp:posOffset>
                  </wp:positionV>
                  <wp:extent cx="952500" cy="98107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952500" cy="981075"/>
                          </a:xfrm>
                          <a:prstGeom prst="rect">
                            <a:avLst/>
                          </a:prstGeom>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栅栏</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米</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组合花架</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H85-120cm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0528" behindDoc="0" locked="0" layoutInCell="1" allowOverlap="1">
                  <wp:simplePos x="0" y="0"/>
                  <wp:positionH relativeFrom="column">
                    <wp:posOffset>454660</wp:posOffset>
                  </wp:positionH>
                  <wp:positionV relativeFrom="paragraph">
                    <wp:posOffset>127000</wp:posOffset>
                  </wp:positionV>
                  <wp:extent cx="1228725" cy="102870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rcRect l="27070" t="25070" b="13338"/>
                          <a:stretch>
                            <a:fillRect/>
                          </a:stretch>
                        </pic:blipFill>
                        <pic:spPr>
                          <a:xfrm>
                            <a:off x="0" y="0"/>
                            <a:ext cx="1228725" cy="1028700"/>
                          </a:xfrm>
                          <a:prstGeom prst="rect">
                            <a:avLst/>
                          </a:prstGeom>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五彩千年木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H120-180cm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针葵</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H200-220cm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老桩多头龙血树（五头以上）</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滴水观音</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restart"/>
            <w:vAlign w:val="center"/>
          </w:tcPr>
          <w:p>
            <w:pPr>
              <w:adjustRightInd w:val="0"/>
              <w:spacing w:before="120" w:beforeLines="50" w:line="300" w:lineRule="auto"/>
              <w:jc w:val="center"/>
              <w:textAlignment w:val="baseline"/>
              <w:rPr>
                <w:rFonts w:hint="eastAsia" w:ascii="宋体" w:hAnsi="宋体" w:eastAsia="宋体" w:cs="宋体"/>
                <w:sz w:val="21"/>
                <w:szCs w:val="24"/>
                <w:highlight w:val="none"/>
              </w:rPr>
            </w:pPr>
            <w:r>
              <w:rPr>
                <w:rFonts w:hint="eastAsia" w:ascii="宋体" w:hAnsi="宋体" w:eastAsia="宋体" w:cs="宋体"/>
                <w:sz w:val="21"/>
                <w:szCs w:val="24"/>
                <w:highlight w:val="none"/>
              </w:rPr>
              <w:drawing>
                <wp:anchor distT="0" distB="0" distL="114300" distR="114300" simplePos="0" relativeHeight="251666432" behindDoc="0" locked="0" layoutInCell="1" allowOverlap="1">
                  <wp:simplePos x="0" y="0"/>
                  <wp:positionH relativeFrom="column">
                    <wp:posOffset>556895</wp:posOffset>
                  </wp:positionH>
                  <wp:positionV relativeFrom="paragraph">
                    <wp:posOffset>60960</wp:posOffset>
                  </wp:positionV>
                  <wp:extent cx="1250950" cy="128143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50950" cy="1281430"/>
                          </a:xfrm>
                          <a:prstGeom prst="rect">
                            <a:avLst/>
                          </a:prstGeom>
                          <a:noFill/>
                          <a:ln>
                            <a:noFill/>
                          </a:ln>
                        </pic:spPr>
                      </pic:pic>
                    </a:graphicData>
                  </a:graphic>
                </wp:anchor>
              </w:drawing>
            </w:r>
          </w:p>
          <w:p>
            <w:pPr>
              <w:adjustRightInd w:val="0"/>
              <w:spacing w:before="120" w:beforeLines="50" w:line="300" w:lineRule="auto"/>
              <w:jc w:val="center"/>
              <w:textAlignment w:val="baseline"/>
              <w:rPr>
                <w:rFonts w:hint="eastAsia" w:ascii="宋体" w:hAnsi="宋体" w:eastAsia="宋体" w:cs="宋体"/>
                <w:sz w:val="21"/>
                <w:szCs w:val="24"/>
                <w:highlight w:val="none"/>
              </w:rPr>
            </w:pPr>
          </w:p>
        </w:tc>
        <w:tc>
          <w:tcPr>
            <w:tcW w:w="2693" w:type="dxa"/>
            <w:vMerge w:val="restart"/>
            <w:vAlign w:val="center"/>
          </w:tcPr>
          <w:p>
            <w:pPr>
              <w:adjustRightInd w:val="0"/>
              <w:spacing w:before="120" w:beforeLines="50" w:line="300" w:lineRule="auto"/>
              <w:jc w:val="center"/>
              <w:textAlignment w:val="baseline"/>
              <w:rPr>
                <w:rFonts w:hint="eastAsia" w:ascii="宋体" w:hAnsi="宋体" w:eastAsia="宋体" w:cs="宋体"/>
                <w:sz w:val="21"/>
                <w:szCs w:val="24"/>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adjustRightInd w:val="0"/>
              <w:spacing w:before="120" w:beforeLines="50" w:line="300" w:lineRule="auto"/>
              <w:textAlignment w:val="baseline"/>
              <w:rPr>
                <w:rFonts w:hint="eastAsia" w:ascii="宋体" w:hAnsi="宋体" w:eastAsia="宋体" w:cs="宋体"/>
                <w:sz w:val="21"/>
                <w:szCs w:val="24"/>
                <w:highlight w:val="none"/>
              </w:rPr>
            </w:pPr>
          </w:p>
          <w:p>
            <w:pPr>
              <w:spacing w:before="240" w:after="60"/>
              <w:outlineLvl w:val="0"/>
              <w:rPr>
                <w:rFonts w:hint="eastAsia" w:ascii="宋体" w:hAnsi="宋体" w:eastAsia="宋体" w:cs="宋体"/>
                <w:b/>
                <w:bCs/>
                <w:sz w:val="32"/>
                <w:szCs w:val="32"/>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多肉苔藓木框壁</w:t>
            </w:r>
            <w:r>
              <w:rPr>
                <w:rFonts w:hint="eastAsia" w:ascii="宋体" w:hAnsi="宋体" w:eastAsia="宋体" w:cs="宋体"/>
                <w:kern w:val="0"/>
                <w:sz w:val="21"/>
                <w:szCs w:val="21"/>
                <w:highlight w:val="none"/>
                <w:lang w:eastAsia="zh-CN"/>
              </w:rPr>
              <w:t>挂</w:t>
            </w:r>
            <w:r>
              <w:rPr>
                <w:rFonts w:hint="eastAsia" w:ascii="宋体" w:hAnsi="宋体" w:eastAsia="宋体" w:cs="宋体"/>
                <w:kern w:val="0"/>
                <w:sz w:val="21"/>
                <w:szCs w:val="21"/>
                <w:highlight w:val="none"/>
              </w:rPr>
              <w:t>（仿真植物）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7456" behindDoc="0" locked="0" layoutInCell="1" allowOverlap="1">
                  <wp:simplePos x="0" y="0"/>
                  <wp:positionH relativeFrom="column">
                    <wp:posOffset>441325</wp:posOffset>
                  </wp:positionH>
                  <wp:positionV relativeFrom="paragraph">
                    <wp:posOffset>-48260</wp:posOffset>
                  </wp:positionV>
                  <wp:extent cx="1295400" cy="12954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clrChange>
                              <a:clrFrom>
                                <a:srgbClr val="FFFFFF"/>
                              </a:clrFrom>
                              <a:clrTo>
                                <a:srgbClr val="FFFFFF">
                                  <a:alpha val="0"/>
                                </a:srgbClr>
                              </a:clrTo>
                            </a:clrChange>
                          </a:blip>
                          <a:stretch>
                            <a:fillRect/>
                          </a:stretch>
                        </pic:blipFill>
                        <pic:spPr>
                          <a:xfrm>
                            <a:off x="0" y="0"/>
                            <a:ext cx="1295400" cy="1295400"/>
                          </a:xfrm>
                          <a:prstGeom prst="rect">
                            <a:avLst/>
                          </a:prstGeom>
                        </pic:spPr>
                      </pic:pic>
                    </a:graphicData>
                  </a:graphic>
                </wp:anchor>
              </w:drawing>
            </w: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蝴蝶兰（粉红色）</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跳舞兰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仙客来</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菊花</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仿真花</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束</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1552" behindDoc="0" locked="0" layoutInCell="1" allowOverlap="1">
                  <wp:simplePos x="0" y="0"/>
                  <wp:positionH relativeFrom="column">
                    <wp:posOffset>622300</wp:posOffset>
                  </wp:positionH>
                  <wp:positionV relativeFrom="paragraph">
                    <wp:posOffset>10160</wp:posOffset>
                  </wp:positionV>
                  <wp:extent cx="1026160" cy="1085850"/>
                  <wp:effectExtent l="0" t="0" r="2540" b="0"/>
                  <wp:wrapNone/>
                  <wp:docPr id="10" name="图片 10" descr="4b7bc76d15928407a9d221e16db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b7bc76d15928407a9d221e16db8649"/>
                          <pic:cNvPicPr>
                            <a:picLocks noChangeAspect="1" noChangeArrowheads="1"/>
                          </pic:cNvPicPr>
                        </pic:nvPicPr>
                        <pic:blipFill>
                          <a:blip r:embed="rId33" cstate="print">
                            <a:extLst>
                              <a:ext uri="{28A0092B-C50C-407E-A947-70E740481C1C}">
                                <a14:useLocalDpi xmlns:a14="http://schemas.microsoft.com/office/drawing/2010/main" val="0"/>
                              </a:ext>
                            </a:extLst>
                          </a:blip>
                          <a:srcRect t="44525" r="52095" b="12308"/>
                          <a:stretch>
                            <a:fillRect/>
                          </a:stretch>
                        </pic:blipFill>
                        <pic:spPr>
                          <a:xfrm>
                            <a:off x="0" y="0"/>
                            <a:ext cx="1026160" cy="1085850"/>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幸福树</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绿萝</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常青藤</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矾根</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红掌</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H60-70cm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海棠</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套盆</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托盘</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草皮</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0.5㎡</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平米</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球状红叶石楠</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D70-80cm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球状小叶黄杨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D70-80cm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大叶栀子花苗</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H30-40cm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bl>
    <w:p>
      <w:pPr>
        <w:pStyle w:val="3"/>
        <w:ind w:firstLine="0" w:firstLineChars="0"/>
        <w:jc w:val="left"/>
        <w:rPr>
          <w:rFonts w:hint="eastAsia" w:ascii="宋体" w:hAnsi="宋体" w:cs="宋体"/>
          <w:b w:val="0"/>
          <w:bCs w:val="0"/>
          <w:sz w:val="24"/>
          <w:szCs w:val="24"/>
          <w:highlight w:val="none"/>
        </w:rPr>
      </w:pPr>
      <w:bookmarkStart w:id="64" w:name="_Toc12054"/>
      <w:bookmarkStart w:id="65" w:name="_Toc23090"/>
      <w:bookmarkStart w:id="66" w:name="_Toc7481"/>
      <w:bookmarkStart w:id="67" w:name="_Toc19807"/>
      <w:bookmarkStart w:id="68" w:name="_Toc17970"/>
      <w:bookmarkStart w:id="69" w:name="_Toc29306"/>
      <w:bookmarkStart w:id="70" w:name="_Toc29960"/>
      <w:bookmarkStart w:id="71" w:name="_Toc14547"/>
      <w:bookmarkStart w:id="72" w:name="_Toc18527"/>
      <w:bookmarkStart w:id="73" w:name="_Toc21231"/>
      <w:bookmarkStart w:id="74" w:name="_Toc18745"/>
      <w:bookmarkStart w:id="75" w:name="_Toc1779"/>
    </w:p>
    <w:p>
      <w:pPr>
        <w:keepNext w:val="0"/>
        <w:keepLines w:val="0"/>
        <w:pageBreakBefore w:val="0"/>
        <w:widowControl w:val="0"/>
        <w:kinsoku/>
        <w:wordWrap/>
        <w:overflowPunct/>
        <w:topLinePunct w:val="0"/>
        <w:autoSpaceDE w:val="0"/>
        <w:autoSpaceDN w:val="0"/>
        <w:bidi w:val="0"/>
        <w:adjustRightInd w:val="0"/>
        <w:snapToGrid/>
        <w:spacing w:line="356" w:lineRule="auto"/>
        <w:ind w:left="120" w:right="-11" w:firstLine="480" w:firstLineChars="200"/>
        <w:jc w:val="left"/>
        <w:textAlignment w:val="auto"/>
        <w:outlineLvl w:val="9"/>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注：</w:t>
      </w:r>
      <w:r>
        <w:rPr>
          <w:rFonts w:hint="eastAsia" w:cs="Times New Roman" w:asciiTheme="majorEastAsia" w:hAnsiTheme="majorEastAsia" w:eastAsiaTheme="majorEastAsia"/>
          <w:szCs w:val="24"/>
          <w:highlight w:val="none"/>
        </w:rPr>
        <w:t xml:space="preserve">1. </w:t>
      </w:r>
      <w:r>
        <w:rPr>
          <w:rFonts w:hint="eastAsia" w:ascii="宋体" w:hAnsi="宋体" w:cs="宋体"/>
          <w:b w:val="0"/>
          <w:bCs w:val="0"/>
          <w:sz w:val="24"/>
          <w:szCs w:val="24"/>
          <w:highlight w:val="none"/>
        </w:rPr>
        <w:t>本表所列图样仅供参考，实际采购须按采购方需求进行</w:t>
      </w:r>
      <w:r>
        <w:rPr>
          <w:rFonts w:hint="eastAsia" w:ascii="宋体" w:hAnsi="宋体" w:cs="宋体"/>
          <w:b w:val="0"/>
          <w:bCs w:val="0"/>
          <w:sz w:val="24"/>
          <w:szCs w:val="24"/>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56" w:lineRule="auto"/>
        <w:ind w:left="120" w:right="-11" w:firstLine="960" w:firstLineChars="400"/>
        <w:jc w:val="left"/>
        <w:textAlignment w:val="auto"/>
        <w:outlineLvl w:val="9"/>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eastAsia="zh-CN"/>
        </w:rPr>
        <w:t>报价</w:t>
      </w:r>
      <w:r>
        <w:rPr>
          <w:rFonts w:hint="eastAsia" w:cs="Times New Roman" w:asciiTheme="majorEastAsia" w:hAnsiTheme="majorEastAsia" w:eastAsiaTheme="majorEastAsia"/>
          <w:szCs w:val="24"/>
          <w:highlight w:val="none"/>
        </w:rPr>
        <w:t>包含产品</w:t>
      </w:r>
      <w:r>
        <w:rPr>
          <w:rFonts w:hint="eastAsia" w:cs="Times New Roman" w:asciiTheme="majorEastAsia" w:hAnsiTheme="majorEastAsia" w:eastAsiaTheme="majorEastAsia"/>
          <w:szCs w:val="24"/>
          <w:highlight w:val="none"/>
          <w:lang w:eastAsia="zh-CN"/>
        </w:rPr>
        <w:t>单价及供应所需的样品、</w:t>
      </w:r>
      <w:r>
        <w:rPr>
          <w:rFonts w:hint="eastAsia" w:cs="Times New Roman" w:asciiTheme="majorEastAsia" w:hAnsiTheme="majorEastAsia" w:eastAsiaTheme="majorEastAsia"/>
          <w:szCs w:val="24"/>
          <w:highlight w:val="none"/>
        </w:rPr>
        <w:t>人工、运输、设置、养护、除渣及质量保证、证件办理等</w:t>
      </w:r>
      <w:r>
        <w:rPr>
          <w:rFonts w:hint="eastAsia" w:cs="Times New Roman" w:asciiTheme="majorEastAsia" w:hAnsiTheme="majorEastAsia" w:eastAsiaTheme="majorEastAsia"/>
          <w:szCs w:val="24"/>
          <w:highlight w:val="none"/>
          <w:lang w:eastAsia="zh-CN"/>
        </w:rPr>
        <w:t>所有</w:t>
      </w:r>
      <w:r>
        <w:rPr>
          <w:rFonts w:hint="eastAsia" w:cs="Times New Roman" w:asciiTheme="majorEastAsia" w:hAnsiTheme="majorEastAsia" w:eastAsiaTheme="majorEastAsia"/>
          <w:szCs w:val="24"/>
          <w:highlight w:val="none"/>
        </w:rPr>
        <w:t>费用</w:t>
      </w:r>
      <w:bookmarkEnd w:id="64"/>
      <w:bookmarkEnd w:id="65"/>
      <w:bookmarkEnd w:id="66"/>
      <w:bookmarkEnd w:id="67"/>
      <w:bookmarkEnd w:id="68"/>
      <w:bookmarkEnd w:id="69"/>
      <w:bookmarkEnd w:id="70"/>
      <w:bookmarkEnd w:id="71"/>
      <w:bookmarkEnd w:id="72"/>
      <w:bookmarkEnd w:id="73"/>
      <w:bookmarkEnd w:id="74"/>
      <w:bookmarkEnd w:id="75"/>
      <w:r>
        <w:rPr>
          <w:rFonts w:hint="eastAsia" w:cs="Times New Roman" w:asciiTheme="majorEastAsia" w:hAnsiTheme="majorEastAsia" w:eastAsiaTheme="majorEastAsia"/>
          <w:szCs w:val="24"/>
          <w:highlight w:val="none"/>
          <w:lang w:eastAsia="zh-CN"/>
        </w:rPr>
        <w:t>。</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val="en-US" w:eastAsia="zh-CN"/>
        </w:rPr>
        <w:t xml:space="preserve">3. </w:t>
      </w:r>
      <w:r>
        <w:rPr>
          <w:rFonts w:hint="eastAsia"/>
          <w:highlight w:val="none"/>
        </w:rPr>
        <w:t>花器、仿真植物等需提供样品</w:t>
      </w:r>
      <w:r>
        <w:rPr>
          <w:rFonts w:hint="eastAsia"/>
          <w:highlight w:val="none"/>
          <w:lang w:eastAsia="zh-CN"/>
        </w:rPr>
        <w:t>的产品</w:t>
      </w:r>
      <w:r>
        <w:rPr>
          <w:rFonts w:hint="eastAsia"/>
          <w:highlight w:val="none"/>
        </w:rPr>
        <w:t>，如因样品质量、效果等不符合</w:t>
      </w:r>
      <w:r>
        <w:rPr>
          <w:rFonts w:hint="eastAsia"/>
          <w:highlight w:val="none"/>
          <w:lang w:eastAsia="zh-CN"/>
        </w:rPr>
        <w:t>采购人</w:t>
      </w:r>
      <w:r>
        <w:rPr>
          <w:rFonts w:hint="eastAsia"/>
          <w:highlight w:val="none"/>
        </w:rPr>
        <w:t>要求，所有退货及运输费用由</w:t>
      </w:r>
      <w:r>
        <w:rPr>
          <w:rFonts w:hint="eastAsia"/>
          <w:highlight w:val="none"/>
          <w:lang w:eastAsia="zh-CN"/>
        </w:rPr>
        <w:t>比选响应人</w:t>
      </w:r>
      <w:r>
        <w:rPr>
          <w:rFonts w:hint="eastAsia"/>
          <w:highlight w:val="none"/>
        </w:rPr>
        <w:t>自理。</w:t>
      </w:r>
    </w:p>
    <w:p>
      <w:pPr>
        <w:rPr>
          <w:rFonts w:hint="eastAsia"/>
          <w:lang w:eastAsia="zh-CN"/>
        </w:rPr>
        <w:sectPr>
          <w:pgSz w:w="16838" w:h="11906" w:orient="landscape"/>
          <w:pgMar w:top="1644" w:right="1440" w:bottom="1644" w:left="1440" w:header="850" w:footer="794" w:gutter="0"/>
          <w:cols w:space="720" w:num="1"/>
          <w:titlePg/>
          <w:docGrid w:linePitch="318" w:charSpace="0"/>
        </w:sectPr>
      </w:pPr>
    </w:p>
    <w:p>
      <w:pPr>
        <w:pStyle w:val="25"/>
        <w:numPr>
          <w:ilvl w:val="0"/>
          <w:numId w:val="3"/>
        </w:numPr>
        <w:spacing w:line="240" w:lineRule="auto"/>
        <w:ind w:firstLine="0" w:firstLineChars="0"/>
        <w:jc w:val="both"/>
        <w:rPr>
          <w:rFonts w:asciiTheme="minorEastAsia" w:hAnsiTheme="minorEastAsia" w:eastAsiaTheme="minorEastAsia"/>
          <w:highlight w:val="none"/>
        </w:rPr>
      </w:pPr>
      <w:bookmarkStart w:id="76" w:name="_Toc7204"/>
      <w:r>
        <w:rPr>
          <w:rFonts w:hint="eastAsia" w:asciiTheme="minorEastAsia" w:hAnsiTheme="minorEastAsia" w:eastAsiaTheme="minorEastAsia"/>
          <w:highlight w:val="none"/>
        </w:rPr>
        <w:t>质量及服务要求</w:t>
      </w:r>
      <w:bookmarkEnd w:id="76"/>
    </w:p>
    <w:p>
      <w:pPr>
        <w:numPr>
          <w:ilvl w:val="1"/>
          <w:numId w:val="3"/>
        </w:numPr>
        <w:tabs>
          <w:tab w:val="left" w:pos="546"/>
          <w:tab w:val="left" w:pos="711"/>
        </w:tabs>
        <w:snapToGrid w:val="0"/>
        <w:ind w:firstLine="480" w:firstLineChars="200"/>
        <w:rPr>
          <w:rFonts w:hint="eastAsia" w:ascii="宋体" w:hAnsi="宋体"/>
          <w:highlight w:val="none"/>
        </w:rPr>
      </w:pPr>
      <w:r>
        <w:rPr>
          <w:rFonts w:hint="eastAsia" w:ascii="宋体" w:hAnsi="宋体"/>
          <w:highlight w:val="none"/>
        </w:rPr>
        <w:t>质量要求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2.1.1 产品的质量符合本比选文件标准，且来源合法，不侵犯他人权益。</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2.1.2 植物鲜活、枝叶茂盛、无枯枝败叶等情况。</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2.1.3 植物无病虫害，须在航站楼外除虫预防后进入楼内使用。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2.1.4 仿真植物</w:t>
      </w:r>
      <w:r>
        <w:rPr>
          <w:rFonts w:hint="eastAsia" w:ascii="宋体" w:hAnsi="宋体"/>
          <w:highlight w:val="none"/>
          <w:lang w:eastAsia="zh-CN"/>
        </w:rPr>
        <w:t>及壁挂</w:t>
      </w:r>
      <w:r>
        <w:rPr>
          <w:rFonts w:hint="eastAsia" w:ascii="宋体" w:hAnsi="宋体"/>
          <w:highlight w:val="none"/>
        </w:rPr>
        <w:t>须进行防火处理（喷洒B1级防火剂并做好台账记录以供甲方检查）后进入楼内使用。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2.1.5 同一批次、同一品种的植物应冠高、冠形及花朵枝叶数量基本一致，尺寸相差不超过10%。</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2.1.6 花器表面不允许有碰伤、变形、表面应平整无边角翘起、折弯现象，不能有成片的小颗粒、杂质、凹坑、气泡、划痕，整体颜色、花纹应一致，无明显色差，外表面及内部不存在任何危及使用人安全的尖锐突出物。</w:t>
      </w:r>
    </w:p>
    <w:p>
      <w:pPr>
        <w:numPr>
          <w:ilvl w:val="1"/>
          <w:numId w:val="3"/>
        </w:numPr>
        <w:tabs>
          <w:tab w:val="left" w:pos="546"/>
          <w:tab w:val="left" w:pos="711"/>
        </w:tabs>
        <w:snapToGrid w:val="0"/>
        <w:ind w:firstLine="480" w:firstLineChars="200"/>
        <w:rPr>
          <w:rFonts w:ascii="宋体" w:hAnsi="宋体"/>
          <w:highlight w:val="none"/>
        </w:rPr>
      </w:pPr>
      <w:r>
        <w:rPr>
          <w:rFonts w:hint="eastAsia" w:ascii="宋体" w:hAnsi="宋体"/>
          <w:highlight w:val="none"/>
        </w:rPr>
        <w:t>服务要求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2.2.1必须有专人负责该项目实施，提供全方位服务，包括供货、运输、设置、养护、除渣等全过程工作。</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2.2.2</w:t>
      </w:r>
      <w:r>
        <w:rPr>
          <w:rFonts w:hint="eastAsia" w:ascii="宋体" w:hAnsi="宋体"/>
          <w:highlight w:val="none"/>
          <w:lang w:eastAsia="zh-CN"/>
        </w:rPr>
        <w:t>必须有专人</w:t>
      </w:r>
      <w:r>
        <w:rPr>
          <w:rFonts w:hint="eastAsia" w:ascii="宋体" w:hAnsi="宋体"/>
          <w:highlight w:val="none"/>
        </w:rPr>
        <w:t>每半月至少对设置的零星植物、花器</w:t>
      </w:r>
      <w:r>
        <w:rPr>
          <w:rFonts w:hint="eastAsia" w:ascii="宋体" w:hAnsi="宋体"/>
          <w:highlight w:val="none"/>
          <w:lang w:eastAsia="zh-CN"/>
        </w:rPr>
        <w:t>及仿真植物</w:t>
      </w:r>
      <w:r>
        <w:rPr>
          <w:rFonts w:hint="eastAsia" w:ascii="宋体" w:hAnsi="宋体"/>
          <w:highlight w:val="none"/>
        </w:rPr>
        <w:t>等进行一次全覆盖的检查及养护工作。</w:t>
      </w:r>
    </w:p>
    <w:p>
      <w:pPr>
        <w:pStyle w:val="3"/>
        <w:ind w:firstLine="0" w:firstLineChars="0"/>
        <w:rPr>
          <w:highlight w:val="none"/>
        </w:rPr>
        <w:sectPr>
          <w:type w:val="continuous"/>
          <w:pgSz w:w="11906" w:h="16838"/>
          <w:pgMar w:top="1440" w:right="1644" w:bottom="1440" w:left="1644" w:header="850" w:footer="794" w:gutter="0"/>
          <w:cols w:space="720" w:num="1"/>
          <w:titlePg/>
          <w:docGrid w:linePitch="318" w:charSpace="0"/>
        </w:sectPr>
      </w:pPr>
      <w:bookmarkStart w:id="77" w:name="_Toc20044"/>
      <w:bookmarkStart w:id="78" w:name="_Toc30338"/>
      <w:bookmarkStart w:id="79" w:name="_Toc22751"/>
    </w:p>
    <w:p>
      <w:pPr>
        <w:pStyle w:val="3"/>
        <w:ind w:firstLine="0" w:firstLineChars="0"/>
        <w:rPr>
          <w:rFonts w:hint="eastAsia"/>
          <w:highlight w:val="none"/>
        </w:rPr>
      </w:pPr>
      <w:r>
        <w:rPr>
          <w:rFonts w:hint="eastAsia"/>
          <w:highlight w:val="none"/>
        </w:rPr>
        <w:br w:type="page"/>
      </w:r>
    </w:p>
    <w:p>
      <w:pPr>
        <w:pStyle w:val="3"/>
        <w:ind w:firstLine="0" w:firstLineChars="0"/>
        <w:rPr>
          <w:highlight w:val="none"/>
        </w:rPr>
      </w:pPr>
      <w:bookmarkStart w:id="80" w:name="_Toc28559"/>
      <w:r>
        <w:rPr>
          <w:rFonts w:hint="eastAsia"/>
          <w:highlight w:val="none"/>
        </w:rPr>
        <w:t>第三章 比选响应人须知</w:t>
      </w:r>
      <w:bookmarkEnd w:id="57"/>
      <w:bookmarkEnd w:id="58"/>
      <w:bookmarkEnd w:id="77"/>
      <w:bookmarkEnd w:id="78"/>
      <w:bookmarkEnd w:id="79"/>
      <w:bookmarkEnd w:id="80"/>
    </w:p>
    <w:p>
      <w:pPr>
        <w:pStyle w:val="4"/>
        <w:ind w:firstLine="0" w:firstLineChars="0"/>
        <w:jc w:val="center"/>
        <w:rPr>
          <w:color w:val="auto"/>
          <w:highlight w:val="none"/>
        </w:rPr>
      </w:pPr>
      <w:bookmarkStart w:id="81" w:name="_Toc12961"/>
      <w:bookmarkStart w:id="82" w:name="_Toc12311"/>
      <w:bookmarkStart w:id="83" w:name="_Toc30882"/>
      <w:bookmarkStart w:id="84" w:name="_Toc8091"/>
      <w:r>
        <w:rPr>
          <w:rFonts w:hint="eastAsia"/>
          <w:color w:val="auto"/>
          <w:highlight w:val="none"/>
        </w:rPr>
        <w:t>一、比选响应人须知前附表</w:t>
      </w:r>
      <w:bookmarkEnd w:id="81"/>
      <w:bookmarkEnd w:id="82"/>
      <w:bookmarkEnd w:id="83"/>
      <w:bookmarkEnd w:id="84"/>
    </w:p>
    <w:p>
      <w:pPr>
        <w:rPr>
          <w:highlight w:val="none"/>
        </w:rPr>
      </w:pPr>
    </w:p>
    <w:tbl>
      <w:tblPr>
        <w:tblStyle w:val="26"/>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8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b/>
                <w:highlight w:val="none"/>
              </w:rPr>
            </w:pPr>
            <w:r>
              <w:rPr>
                <w:rFonts w:hint="eastAsia" w:ascii="宋体" w:hAnsi="宋体"/>
                <w:b/>
                <w:highlight w:val="none"/>
              </w:rPr>
              <w:t>条款号</w:t>
            </w:r>
          </w:p>
        </w:tc>
        <w:tc>
          <w:tcPr>
            <w:tcW w:w="1680" w:type="dxa"/>
            <w:vAlign w:val="center"/>
          </w:tcPr>
          <w:p>
            <w:pPr>
              <w:jc w:val="center"/>
              <w:rPr>
                <w:rFonts w:ascii="宋体" w:hAnsi="宋体"/>
                <w:b/>
                <w:highlight w:val="none"/>
              </w:rPr>
            </w:pPr>
            <w:r>
              <w:rPr>
                <w:rFonts w:hint="eastAsia" w:ascii="宋体" w:hAnsi="宋体"/>
                <w:b/>
                <w:highlight w:val="none"/>
              </w:rPr>
              <w:t>条款名称</w:t>
            </w:r>
          </w:p>
        </w:tc>
        <w:tc>
          <w:tcPr>
            <w:tcW w:w="6300" w:type="dxa"/>
            <w:vAlign w:val="center"/>
          </w:tcPr>
          <w:p>
            <w:pPr>
              <w:ind w:firstLine="482" w:firstLineChars="200"/>
              <w:jc w:val="center"/>
              <w:rPr>
                <w:rFonts w:ascii="宋体" w:hAnsi="宋体"/>
                <w:b/>
                <w:highlight w:val="none"/>
              </w:rPr>
            </w:pPr>
            <w:r>
              <w:rPr>
                <w:rFonts w:hint="eastAsia" w:ascii="宋体" w:hAnsi="宋体"/>
                <w:b/>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1.1.1</w:t>
            </w:r>
          </w:p>
        </w:tc>
        <w:tc>
          <w:tcPr>
            <w:tcW w:w="1680" w:type="dxa"/>
            <w:vAlign w:val="center"/>
          </w:tcPr>
          <w:p>
            <w:pPr>
              <w:jc w:val="center"/>
              <w:rPr>
                <w:rFonts w:ascii="宋体" w:hAnsi="宋体"/>
                <w:highlight w:val="none"/>
              </w:rPr>
            </w:pPr>
            <w:r>
              <w:rPr>
                <w:rFonts w:hint="eastAsia" w:ascii="宋体" w:hAnsi="宋体"/>
                <w:highlight w:val="none"/>
              </w:rPr>
              <w:t>采购人</w:t>
            </w:r>
          </w:p>
        </w:tc>
        <w:tc>
          <w:tcPr>
            <w:tcW w:w="6300" w:type="dxa"/>
            <w:vAlign w:val="center"/>
          </w:tcPr>
          <w:p>
            <w:pPr>
              <w:autoSpaceDE w:val="0"/>
              <w:autoSpaceDN w:val="0"/>
              <w:ind w:firstLine="480" w:firstLineChars="200"/>
              <w:jc w:val="left"/>
              <w:rPr>
                <w:rFonts w:ascii="宋体" w:hAnsi="宋体"/>
                <w:kern w:val="0"/>
                <w:highlight w:val="none"/>
              </w:rPr>
            </w:pPr>
            <w:r>
              <w:rPr>
                <w:rFonts w:hint="eastAsia" w:ascii="宋体" w:hAnsi="宋体"/>
                <w:kern w:val="0"/>
                <w:highlight w:val="none"/>
              </w:rPr>
              <w:t>名称：</w:t>
            </w:r>
            <w:r>
              <w:rPr>
                <w:rFonts w:hint="eastAsia" w:ascii="宋体" w:hAnsi="宋体"/>
                <w:kern w:val="0"/>
                <w:highlight w:val="none"/>
                <w:u w:val="single"/>
              </w:rPr>
              <w:t>重庆机场集团有限公司</w:t>
            </w:r>
          </w:p>
          <w:p>
            <w:pPr>
              <w:pStyle w:val="9"/>
              <w:ind w:firstLine="480"/>
              <w:rPr>
                <w:rFonts w:ascii="宋体" w:hAnsi="宋体"/>
                <w:highlight w:val="none"/>
              </w:rPr>
            </w:pPr>
            <w:r>
              <w:rPr>
                <w:rFonts w:hint="eastAsia" w:ascii="宋体" w:hAnsi="宋体" w:eastAsiaTheme="minorEastAsia" w:cstheme="minorBidi"/>
                <w:kern w:val="0"/>
                <w:szCs w:val="22"/>
                <w:highlight w:val="none"/>
              </w:rPr>
              <w:t>地址：</w:t>
            </w:r>
            <w:r>
              <w:rPr>
                <w:rFonts w:hint="eastAsia" w:ascii="宋体" w:hAnsi="宋体" w:eastAsiaTheme="minorEastAsia" w:cstheme="minorBidi"/>
                <w:kern w:val="0"/>
                <w:szCs w:val="22"/>
                <w:highlight w:val="none"/>
                <w:u w:val="single"/>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50" w:type="dxa"/>
            <w:vAlign w:val="center"/>
          </w:tcPr>
          <w:p>
            <w:pPr>
              <w:jc w:val="center"/>
              <w:rPr>
                <w:rFonts w:ascii="宋体" w:hAnsi="宋体"/>
                <w:highlight w:val="none"/>
              </w:rPr>
            </w:pPr>
            <w:r>
              <w:rPr>
                <w:rFonts w:hint="eastAsia" w:ascii="宋体" w:hAnsi="宋体"/>
                <w:highlight w:val="none"/>
              </w:rPr>
              <w:t>1.1.2</w:t>
            </w:r>
          </w:p>
        </w:tc>
        <w:tc>
          <w:tcPr>
            <w:tcW w:w="1680" w:type="dxa"/>
            <w:vAlign w:val="center"/>
          </w:tcPr>
          <w:p>
            <w:pPr>
              <w:jc w:val="center"/>
              <w:rPr>
                <w:rFonts w:ascii="宋体" w:hAnsi="宋体"/>
                <w:highlight w:val="none"/>
              </w:rPr>
            </w:pPr>
            <w:r>
              <w:rPr>
                <w:rFonts w:hint="eastAsia" w:ascii="宋体" w:hAnsi="宋体"/>
                <w:highlight w:val="none"/>
              </w:rPr>
              <w:t>项目名称</w:t>
            </w:r>
          </w:p>
        </w:tc>
        <w:tc>
          <w:tcPr>
            <w:tcW w:w="6300" w:type="dxa"/>
            <w:vAlign w:val="center"/>
          </w:tcPr>
          <w:p>
            <w:pPr>
              <w:autoSpaceDE w:val="0"/>
              <w:autoSpaceDN w:val="0"/>
              <w:ind w:firstLine="480" w:firstLineChars="200"/>
              <w:jc w:val="left"/>
              <w:rPr>
                <w:rFonts w:ascii="宋体" w:hAnsi="宋体"/>
                <w:highlight w:val="none"/>
              </w:rPr>
            </w:pPr>
            <w:r>
              <w:rPr>
                <w:rFonts w:hint="eastAsia" w:ascii="宋体" w:hAnsi="宋体"/>
                <w:bCs/>
                <w:highlight w:val="none"/>
              </w:rPr>
              <w:t>重庆江北国际机场T2、T3A航站楼零星植物及花器采购项目。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0" w:type="dxa"/>
            <w:vAlign w:val="center"/>
          </w:tcPr>
          <w:p>
            <w:pPr>
              <w:jc w:val="center"/>
              <w:rPr>
                <w:rFonts w:ascii="宋体" w:hAnsi="宋体"/>
                <w:highlight w:val="none"/>
              </w:rPr>
            </w:pPr>
            <w:r>
              <w:rPr>
                <w:rFonts w:hint="eastAsia" w:ascii="宋体" w:hAnsi="宋体"/>
                <w:highlight w:val="none"/>
              </w:rPr>
              <w:t>1.1.3</w:t>
            </w:r>
          </w:p>
        </w:tc>
        <w:tc>
          <w:tcPr>
            <w:tcW w:w="1680" w:type="dxa"/>
            <w:vAlign w:val="center"/>
          </w:tcPr>
          <w:p>
            <w:pPr>
              <w:jc w:val="center"/>
              <w:rPr>
                <w:rFonts w:ascii="宋体" w:hAnsi="宋体"/>
                <w:highlight w:val="none"/>
              </w:rPr>
            </w:pPr>
            <w:r>
              <w:rPr>
                <w:rFonts w:hint="eastAsia" w:ascii="宋体" w:hAnsi="宋体"/>
                <w:highlight w:val="none"/>
              </w:rPr>
              <w:t>项目地点</w:t>
            </w:r>
          </w:p>
        </w:tc>
        <w:tc>
          <w:tcPr>
            <w:tcW w:w="6300" w:type="dxa"/>
            <w:vAlign w:val="center"/>
          </w:tcPr>
          <w:p>
            <w:pPr>
              <w:ind w:firstLine="480" w:firstLineChars="200"/>
              <w:rPr>
                <w:rFonts w:ascii="宋体" w:hAnsi="宋体"/>
                <w:highlight w:val="none"/>
              </w:rPr>
            </w:pPr>
            <w:r>
              <w:rPr>
                <w:rFonts w:hint="eastAsia"/>
                <w:highlight w:val="none"/>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1.1.4</w:t>
            </w:r>
          </w:p>
        </w:tc>
        <w:tc>
          <w:tcPr>
            <w:tcW w:w="1680" w:type="dxa"/>
            <w:vAlign w:val="center"/>
          </w:tcPr>
          <w:p>
            <w:pPr>
              <w:jc w:val="center"/>
              <w:rPr>
                <w:rFonts w:ascii="宋体" w:hAnsi="宋体"/>
                <w:highlight w:val="none"/>
              </w:rPr>
            </w:pPr>
            <w:r>
              <w:rPr>
                <w:rFonts w:hint="eastAsia" w:ascii="宋体" w:hAnsi="宋体"/>
                <w:highlight w:val="none"/>
              </w:rPr>
              <w:t>项目区域</w:t>
            </w:r>
          </w:p>
        </w:tc>
        <w:tc>
          <w:tcPr>
            <w:tcW w:w="6300" w:type="dxa"/>
            <w:vAlign w:val="center"/>
          </w:tcPr>
          <w:p>
            <w:pPr>
              <w:ind w:firstLine="480" w:firstLineChars="200"/>
              <w:rPr>
                <w:highlight w:val="none"/>
              </w:rPr>
            </w:pPr>
            <w:r>
              <w:rPr>
                <w:rFonts w:hint="eastAsia"/>
                <w:highlight w:val="none"/>
              </w:rPr>
              <w:t>T2、T3A航站楼内。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0" w:type="dxa"/>
            <w:vAlign w:val="center"/>
          </w:tcPr>
          <w:p>
            <w:pPr>
              <w:jc w:val="center"/>
              <w:rPr>
                <w:rFonts w:ascii="宋体" w:hAnsi="宋体"/>
                <w:highlight w:val="none"/>
              </w:rPr>
            </w:pPr>
            <w:r>
              <w:rPr>
                <w:rFonts w:hint="eastAsia" w:ascii="宋体" w:hAnsi="宋体"/>
                <w:highlight w:val="none"/>
              </w:rPr>
              <w:t>1.2.1</w:t>
            </w:r>
          </w:p>
        </w:tc>
        <w:tc>
          <w:tcPr>
            <w:tcW w:w="1680" w:type="dxa"/>
            <w:vAlign w:val="center"/>
          </w:tcPr>
          <w:p>
            <w:pPr>
              <w:jc w:val="center"/>
              <w:rPr>
                <w:rFonts w:ascii="宋体" w:hAnsi="宋体"/>
                <w:highlight w:val="none"/>
              </w:rPr>
            </w:pPr>
            <w:r>
              <w:rPr>
                <w:rFonts w:hint="eastAsia" w:ascii="宋体" w:hAnsi="宋体"/>
                <w:highlight w:val="none"/>
              </w:rPr>
              <w:t>资金来源</w:t>
            </w:r>
          </w:p>
        </w:tc>
        <w:tc>
          <w:tcPr>
            <w:tcW w:w="6300" w:type="dxa"/>
            <w:vAlign w:val="center"/>
          </w:tcPr>
          <w:p>
            <w:pPr>
              <w:ind w:firstLine="480" w:firstLineChars="200"/>
              <w:rPr>
                <w:rFonts w:ascii="宋体" w:hAnsi="宋体"/>
                <w:highlight w:val="none"/>
              </w:rPr>
            </w:pPr>
            <w:r>
              <w:rPr>
                <w:rFonts w:hint="eastAsia" w:ascii="宋体" w:hAnsi="宋体"/>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0" w:type="dxa"/>
            <w:vAlign w:val="center"/>
          </w:tcPr>
          <w:p>
            <w:pPr>
              <w:jc w:val="center"/>
              <w:rPr>
                <w:rFonts w:ascii="宋体" w:hAnsi="宋体"/>
                <w:highlight w:val="none"/>
              </w:rPr>
            </w:pPr>
            <w:r>
              <w:rPr>
                <w:rFonts w:hint="eastAsia" w:ascii="宋体" w:hAnsi="宋体"/>
                <w:highlight w:val="none"/>
              </w:rPr>
              <w:t>1.2.2</w:t>
            </w:r>
          </w:p>
        </w:tc>
        <w:tc>
          <w:tcPr>
            <w:tcW w:w="1680" w:type="dxa"/>
            <w:vAlign w:val="center"/>
          </w:tcPr>
          <w:p>
            <w:pPr>
              <w:jc w:val="center"/>
              <w:rPr>
                <w:rFonts w:ascii="宋体" w:hAnsi="宋体"/>
                <w:highlight w:val="none"/>
              </w:rPr>
            </w:pPr>
            <w:r>
              <w:rPr>
                <w:rFonts w:hint="eastAsia" w:ascii="宋体" w:hAnsi="宋体"/>
                <w:highlight w:val="none"/>
              </w:rPr>
              <w:t>资金落实情况</w:t>
            </w:r>
          </w:p>
        </w:tc>
        <w:tc>
          <w:tcPr>
            <w:tcW w:w="6300" w:type="dxa"/>
            <w:vAlign w:val="center"/>
          </w:tcPr>
          <w:p>
            <w:pPr>
              <w:snapToGrid w:val="0"/>
              <w:ind w:firstLine="480" w:firstLineChars="200"/>
              <w:rPr>
                <w:rFonts w:ascii="宋体" w:hAnsi="宋体"/>
                <w:highlight w:val="none"/>
              </w:rPr>
            </w:pPr>
            <w:r>
              <w:rPr>
                <w:rFonts w:hint="eastAsia" w:ascii="宋体" w:hAnsi="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0" w:type="dxa"/>
            <w:vAlign w:val="center"/>
          </w:tcPr>
          <w:p>
            <w:pPr>
              <w:jc w:val="center"/>
              <w:rPr>
                <w:rFonts w:ascii="宋体" w:hAnsi="宋体"/>
                <w:highlight w:val="none"/>
              </w:rPr>
            </w:pPr>
            <w:r>
              <w:rPr>
                <w:rFonts w:hint="eastAsia" w:ascii="宋体" w:hAnsi="宋体"/>
                <w:highlight w:val="none"/>
              </w:rPr>
              <w:t>1.3.1</w:t>
            </w:r>
          </w:p>
        </w:tc>
        <w:tc>
          <w:tcPr>
            <w:tcW w:w="1680" w:type="dxa"/>
            <w:vAlign w:val="center"/>
          </w:tcPr>
          <w:p>
            <w:pPr>
              <w:jc w:val="center"/>
              <w:rPr>
                <w:rFonts w:ascii="宋体" w:hAnsi="宋体"/>
                <w:highlight w:val="none"/>
              </w:rPr>
            </w:pPr>
            <w:r>
              <w:rPr>
                <w:rFonts w:hint="eastAsia" w:ascii="宋体" w:hAnsi="宋体"/>
                <w:highlight w:val="none"/>
              </w:rPr>
              <w:t>采购范围</w:t>
            </w:r>
          </w:p>
        </w:tc>
        <w:tc>
          <w:tcPr>
            <w:tcW w:w="6300" w:type="dxa"/>
            <w:vAlign w:val="center"/>
          </w:tcPr>
          <w:p>
            <w:pPr>
              <w:tabs>
                <w:tab w:val="left" w:pos="546"/>
                <w:tab w:val="left" w:pos="711"/>
              </w:tabs>
              <w:snapToGrid w:val="0"/>
              <w:ind w:firstLine="480"/>
              <w:rPr>
                <w:highlight w:val="none"/>
              </w:rPr>
            </w:pPr>
            <w:r>
              <w:rPr>
                <w:rFonts w:hint="eastAsia" w:ascii="宋体" w:hAnsi="宋体"/>
                <w:highlight w:val="none"/>
              </w:rPr>
              <w:t>重庆江北国际机场T2、T3A航站楼零星植物</w:t>
            </w:r>
            <w:r>
              <w:rPr>
                <w:rFonts w:hint="eastAsia" w:ascii="宋体" w:hAnsi="宋体"/>
                <w:highlight w:val="none"/>
                <w:lang w:eastAsia="zh-CN"/>
              </w:rPr>
              <w:t>及</w:t>
            </w:r>
            <w:r>
              <w:rPr>
                <w:rFonts w:hint="eastAsia" w:ascii="宋体" w:hAnsi="宋体"/>
                <w:highlight w:val="none"/>
              </w:rPr>
              <w:t>花器及等产品</w:t>
            </w:r>
            <w:r>
              <w:rPr>
                <w:rFonts w:hint="eastAsia" w:ascii="宋体" w:hAnsi="宋体"/>
                <w:highlight w:val="none"/>
                <w:lang w:eastAsia="zh-CN"/>
              </w:rPr>
              <w:t>（详见第二章“</w:t>
            </w:r>
            <w:r>
              <w:rPr>
                <w:rFonts w:hint="eastAsia" w:cs="Times New Roman" w:asciiTheme="minorEastAsia" w:hAnsiTheme="minorEastAsia" w:eastAsiaTheme="minorEastAsia"/>
                <w:kern w:val="2"/>
                <w:sz w:val="24"/>
                <w:szCs w:val="24"/>
                <w:highlight w:val="none"/>
                <w:lang w:val="en-US" w:eastAsia="zh-CN" w:bidi="ar-SA"/>
              </w:rPr>
              <w:t>T2、T3A航站楼零星植物及花器采购项目采购需求表</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50" w:type="dxa"/>
            <w:vAlign w:val="center"/>
          </w:tcPr>
          <w:p>
            <w:pPr>
              <w:jc w:val="center"/>
              <w:rPr>
                <w:rFonts w:ascii="宋体" w:hAnsi="宋体"/>
                <w:highlight w:val="none"/>
              </w:rPr>
            </w:pPr>
            <w:r>
              <w:rPr>
                <w:rFonts w:hint="eastAsia" w:ascii="宋体" w:hAnsi="宋体"/>
                <w:highlight w:val="none"/>
              </w:rPr>
              <w:t>1.3.2</w:t>
            </w:r>
          </w:p>
        </w:tc>
        <w:tc>
          <w:tcPr>
            <w:tcW w:w="1680" w:type="dxa"/>
            <w:vAlign w:val="center"/>
          </w:tcPr>
          <w:p>
            <w:pPr>
              <w:jc w:val="center"/>
              <w:rPr>
                <w:rFonts w:hint="eastAsia" w:ascii="仿宋_GB2312" w:hAnsi="宋体" w:eastAsiaTheme="minorEastAsia"/>
                <w:highlight w:val="none"/>
                <w:lang w:eastAsia="zh-CN"/>
              </w:rPr>
            </w:pPr>
            <w:r>
              <w:rPr>
                <w:rFonts w:hint="eastAsia" w:ascii="仿宋_GB2312" w:hAnsi="宋体"/>
                <w:highlight w:val="none"/>
                <w:lang w:eastAsia="zh-CN"/>
              </w:rPr>
              <w:t>维保期限</w:t>
            </w:r>
          </w:p>
        </w:tc>
        <w:tc>
          <w:tcPr>
            <w:tcW w:w="6300" w:type="dxa"/>
            <w:vAlign w:val="center"/>
          </w:tcPr>
          <w:p>
            <w:pPr>
              <w:tabs>
                <w:tab w:val="left" w:pos="546"/>
                <w:tab w:val="left" w:pos="711"/>
              </w:tabs>
              <w:snapToGrid w:val="0"/>
              <w:ind w:firstLine="480"/>
              <w:rPr>
                <w:rFonts w:ascii="仿宋_GB2312"/>
                <w:highlight w:val="none"/>
              </w:rPr>
            </w:pPr>
            <w:r>
              <w:rPr>
                <w:rFonts w:hint="eastAsia" w:ascii="宋体" w:hAnsi="宋体"/>
                <w:highlight w:val="none"/>
              </w:rPr>
              <w:t>花器、</w:t>
            </w:r>
            <w:r>
              <w:rPr>
                <w:rFonts w:hint="eastAsia" w:ascii="宋体" w:hAnsi="宋体"/>
                <w:highlight w:val="none"/>
                <w:lang w:eastAsia="zh-CN"/>
              </w:rPr>
              <w:t>组合花架、</w:t>
            </w:r>
            <w:r>
              <w:rPr>
                <w:rFonts w:hint="eastAsia" w:ascii="宋体" w:hAnsi="宋体"/>
                <w:highlight w:val="none"/>
              </w:rPr>
              <w:t>仿真植物及壁挂提供</w:t>
            </w:r>
            <w:r>
              <w:rPr>
                <w:rFonts w:hint="eastAsia" w:ascii="宋体" w:hAnsi="宋体"/>
                <w:highlight w:val="none"/>
                <w:lang w:eastAsia="zh-CN"/>
              </w:rPr>
              <w:t>一年维保期限</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50" w:type="dxa"/>
            <w:vAlign w:val="center"/>
          </w:tcPr>
          <w:p>
            <w:pPr>
              <w:jc w:val="center"/>
              <w:rPr>
                <w:rFonts w:ascii="宋体" w:hAnsi="宋体"/>
                <w:highlight w:val="none"/>
              </w:rPr>
            </w:pPr>
            <w:r>
              <w:rPr>
                <w:rFonts w:hint="eastAsia" w:ascii="宋体" w:hAnsi="宋体"/>
                <w:highlight w:val="none"/>
              </w:rPr>
              <w:t>1.3.3</w:t>
            </w:r>
          </w:p>
        </w:tc>
        <w:tc>
          <w:tcPr>
            <w:tcW w:w="1680" w:type="dxa"/>
            <w:vAlign w:val="center"/>
          </w:tcPr>
          <w:p>
            <w:pPr>
              <w:jc w:val="center"/>
              <w:rPr>
                <w:highlight w:val="none"/>
              </w:rPr>
            </w:pPr>
            <w:r>
              <w:rPr>
                <w:rFonts w:hint="eastAsia"/>
                <w:highlight w:val="none"/>
              </w:rPr>
              <w:t>服务期限</w:t>
            </w:r>
          </w:p>
        </w:tc>
        <w:tc>
          <w:tcPr>
            <w:tcW w:w="6300" w:type="dxa"/>
            <w:vAlign w:val="center"/>
          </w:tcPr>
          <w:p>
            <w:pPr>
              <w:ind w:firstLine="480" w:firstLineChars="200"/>
              <w:rPr>
                <w:rFonts w:ascii="仿宋_GB2312"/>
                <w:highlight w:val="none"/>
              </w:rPr>
            </w:pPr>
            <w:r>
              <w:rPr>
                <w:rFonts w:hint="eastAsia" w:ascii="仿宋_GB2312"/>
                <w:highlight w:val="none"/>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1.3.4</w:t>
            </w:r>
          </w:p>
        </w:tc>
        <w:tc>
          <w:tcPr>
            <w:tcW w:w="1680" w:type="dxa"/>
            <w:vAlign w:val="center"/>
          </w:tcPr>
          <w:p>
            <w:pPr>
              <w:jc w:val="center"/>
              <w:rPr>
                <w:rFonts w:ascii="宋体" w:hAnsi="宋体"/>
                <w:highlight w:val="none"/>
              </w:rPr>
            </w:pPr>
            <w:r>
              <w:rPr>
                <w:rFonts w:hint="eastAsia" w:ascii="宋体" w:hAnsi="宋体"/>
                <w:highlight w:val="none"/>
              </w:rPr>
              <w:t>质量要求</w:t>
            </w:r>
          </w:p>
        </w:tc>
        <w:tc>
          <w:tcPr>
            <w:tcW w:w="6300" w:type="dxa"/>
            <w:vAlign w:val="center"/>
          </w:tcPr>
          <w:p>
            <w:pPr>
              <w:ind w:firstLine="480" w:firstLineChars="200"/>
              <w:rPr>
                <w:rFonts w:ascii="宋体" w:hAnsi="宋体"/>
                <w:highlight w:val="none"/>
              </w:rPr>
            </w:pPr>
            <w:r>
              <w:rPr>
                <w:rFonts w:hint="eastAsia" w:ascii="宋体" w:hAnsi="宋体"/>
                <w:highlight w:val="none"/>
              </w:rPr>
              <w:t>交付的成果必须符合本项目所有要求，并符合比选文件的规定。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50" w:type="dxa"/>
            <w:vAlign w:val="center"/>
          </w:tcPr>
          <w:p>
            <w:pPr>
              <w:jc w:val="center"/>
              <w:rPr>
                <w:rFonts w:ascii="宋体" w:hAnsi="宋体"/>
                <w:highlight w:val="none"/>
              </w:rPr>
            </w:pPr>
          </w:p>
          <w:p>
            <w:pPr>
              <w:jc w:val="center"/>
              <w:rPr>
                <w:rFonts w:ascii="宋体" w:hAnsi="宋体"/>
                <w:highlight w:val="none"/>
              </w:rPr>
            </w:pPr>
            <w:r>
              <w:rPr>
                <w:rFonts w:hint="eastAsia" w:ascii="宋体" w:hAnsi="宋体"/>
                <w:highlight w:val="none"/>
              </w:rPr>
              <w:t>1.4.1</w:t>
            </w:r>
          </w:p>
        </w:tc>
        <w:tc>
          <w:tcPr>
            <w:tcW w:w="1680" w:type="dxa"/>
            <w:vAlign w:val="center"/>
          </w:tcPr>
          <w:p>
            <w:pPr>
              <w:jc w:val="center"/>
              <w:rPr>
                <w:rFonts w:ascii="宋体" w:hAnsi="宋体"/>
                <w:highlight w:val="none"/>
              </w:rPr>
            </w:pPr>
            <w:r>
              <w:rPr>
                <w:rFonts w:hint="eastAsia" w:ascii="宋体" w:hAnsi="宋体"/>
                <w:highlight w:val="none"/>
              </w:rPr>
              <w:t>比选响应人</w:t>
            </w:r>
          </w:p>
          <w:p>
            <w:pPr>
              <w:jc w:val="center"/>
              <w:rPr>
                <w:rFonts w:ascii="宋体" w:hAnsi="宋体" w:eastAsia="仿宋_GB2312"/>
                <w:highlight w:val="none"/>
              </w:rPr>
            </w:pPr>
            <w:r>
              <w:rPr>
                <w:rFonts w:hint="eastAsia" w:ascii="宋体" w:hAnsi="宋体"/>
                <w:highlight w:val="none"/>
              </w:rPr>
              <w:t>要求</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本项目比选实行资格后审，比选响应人应满足以下要求：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1.比选响应人资格要求：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1.1营业执照</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为中华人民共和国依法注册的企业法人，企业所持的有效营业执照经营范围须包含园林绿化养护管理，种植、销售、租赁：花卉、绿色植物，城镇绿化苗木、花卉生产经营，植物租摆，园林绿化工程设计、施工，公园管理，（具有其中一项即可），取得经营许可的企业法人（提供有效的营业执照复印件并盖单位鲜章）。</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1.2资质条件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能开具增值税专用发票（提供有效的资质证书复印件并盖单位鲜章）。</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2.其他要求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2.1法定代表人为同一个人的两个及两个以上法人，母公司、全资子公司及其控股公司，以及其他形式有管理关系的比选响应人，都不得在同一比选项目中同时投标。</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2.2信誉要求：①没有处于被责令停业，投标资格被取消，财产被接管、冻结，破产状态；②比选响应人没有进入采购人黑名单库；③具有履行合同所必需的设备和专业技术能力。</w:t>
            </w:r>
          </w:p>
          <w:p>
            <w:pPr>
              <w:ind w:firstLine="480" w:firstLineChars="200"/>
              <w:rPr>
                <w:rFonts w:ascii="宋体" w:hAnsi="宋体"/>
                <w:highlight w:val="none"/>
              </w:rPr>
            </w:pPr>
            <w:r>
              <w:rPr>
                <w:rFonts w:hint="eastAsia" w:ascii="宋体" w:hAnsi="宋体"/>
                <w:highlight w:val="none"/>
              </w:rPr>
              <w:t>2.3比选响应人如提供虚假材料或未达到上述信誉要求，采购人有权取消其比选资格或中选资格，并且不予退还其投标保证金。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1.4.2</w:t>
            </w:r>
          </w:p>
        </w:tc>
        <w:tc>
          <w:tcPr>
            <w:tcW w:w="1680" w:type="dxa"/>
            <w:vAlign w:val="center"/>
          </w:tcPr>
          <w:p>
            <w:pPr>
              <w:jc w:val="center"/>
              <w:rPr>
                <w:rFonts w:ascii="宋体" w:hAnsi="宋体"/>
                <w:highlight w:val="none"/>
              </w:rPr>
            </w:pPr>
            <w:r>
              <w:rPr>
                <w:rFonts w:hint="eastAsia" w:ascii="宋体" w:hAnsi="宋体"/>
                <w:highlight w:val="none"/>
              </w:rPr>
              <w:t>是否接受联合体投标</w:t>
            </w:r>
          </w:p>
        </w:tc>
        <w:tc>
          <w:tcPr>
            <w:tcW w:w="6300" w:type="dxa"/>
            <w:vAlign w:val="center"/>
          </w:tcPr>
          <w:p>
            <w:pPr>
              <w:ind w:firstLine="480" w:firstLineChars="200"/>
              <w:rPr>
                <w:rFonts w:ascii="宋体" w:hAnsi="宋体"/>
                <w:highlight w:val="none"/>
              </w:rPr>
            </w:pPr>
            <w:r>
              <w:rPr>
                <w:rFonts w:hint="eastAsia" w:ascii="宋体" w:hAnsi="宋体"/>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Align w:val="center"/>
          </w:tcPr>
          <w:p>
            <w:pPr>
              <w:jc w:val="center"/>
              <w:rPr>
                <w:rFonts w:ascii="宋体" w:hAnsi="宋体"/>
                <w:highlight w:val="none"/>
              </w:rPr>
            </w:pPr>
            <w:r>
              <w:rPr>
                <w:rFonts w:hint="eastAsia" w:ascii="宋体" w:hAnsi="宋体"/>
                <w:highlight w:val="none"/>
              </w:rPr>
              <w:t>1.5</w:t>
            </w:r>
          </w:p>
        </w:tc>
        <w:tc>
          <w:tcPr>
            <w:tcW w:w="1680" w:type="dxa"/>
            <w:vAlign w:val="center"/>
          </w:tcPr>
          <w:p>
            <w:pPr>
              <w:jc w:val="center"/>
              <w:rPr>
                <w:rFonts w:ascii="宋体" w:hAnsi="宋体"/>
                <w:highlight w:val="none"/>
              </w:rPr>
            </w:pPr>
            <w:r>
              <w:rPr>
                <w:rFonts w:hint="eastAsia" w:ascii="宋体" w:hAnsi="宋体"/>
                <w:highlight w:val="none"/>
              </w:rPr>
              <w:t>踏勘现场</w:t>
            </w:r>
          </w:p>
        </w:tc>
        <w:tc>
          <w:tcPr>
            <w:tcW w:w="6300" w:type="dxa"/>
            <w:vAlign w:val="center"/>
          </w:tcPr>
          <w:p>
            <w:pPr>
              <w:tabs>
                <w:tab w:val="left" w:pos="546"/>
                <w:tab w:val="left" w:pos="711"/>
              </w:tabs>
              <w:snapToGrid w:val="0"/>
              <w:ind w:firstLine="480" w:firstLineChars="200"/>
              <w:rPr>
                <w:highlight w:val="none"/>
                <w:u w:val="single"/>
              </w:rPr>
            </w:pPr>
            <w:r>
              <w:rPr>
                <w:rFonts w:hint="eastAsia"/>
                <w:highlight w:val="none"/>
                <w:u w:val="single"/>
              </w:rPr>
              <w:t>不组织统一踏勘现场。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1.6.1</w:t>
            </w:r>
          </w:p>
        </w:tc>
        <w:tc>
          <w:tcPr>
            <w:tcW w:w="1680" w:type="dxa"/>
            <w:vAlign w:val="center"/>
          </w:tcPr>
          <w:p>
            <w:pPr>
              <w:jc w:val="center"/>
              <w:rPr>
                <w:rFonts w:ascii="宋体" w:hAnsi="宋体"/>
                <w:highlight w:val="none"/>
              </w:rPr>
            </w:pPr>
            <w:r>
              <w:rPr>
                <w:rFonts w:hint="eastAsia" w:ascii="宋体" w:hAnsi="宋体"/>
                <w:highlight w:val="none"/>
              </w:rPr>
              <w:t>比选预备会</w:t>
            </w:r>
          </w:p>
        </w:tc>
        <w:tc>
          <w:tcPr>
            <w:tcW w:w="6300" w:type="dxa"/>
            <w:vAlign w:val="center"/>
          </w:tcPr>
          <w:p>
            <w:pPr>
              <w:ind w:firstLine="480" w:firstLineChars="200"/>
              <w:rPr>
                <w:rFonts w:ascii="宋体" w:hAnsi="宋体"/>
                <w:highlight w:val="none"/>
              </w:rPr>
            </w:pPr>
            <w:r>
              <w:rPr>
                <w:rFonts w:hint="eastAsia" w:ascii="宋体" w:hAnsi="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1.6.2</w:t>
            </w:r>
          </w:p>
        </w:tc>
        <w:tc>
          <w:tcPr>
            <w:tcW w:w="1680" w:type="dxa"/>
            <w:vAlign w:val="center"/>
          </w:tcPr>
          <w:p>
            <w:pPr>
              <w:jc w:val="center"/>
              <w:rPr>
                <w:rFonts w:ascii="宋体" w:hAnsi="宋体"/>
                <w:highlight w:val="none"/>
              </w:rPr>
            </w:pPr>
            <w:r>
              <w:rPr>
                <w:rFonts w:hint="eastAsia" w:ascii="宋体" w:hAnsi="宋体"/>
                <w:highlight w:val="none"/>
              </w:rPr>
              <w:t>比选响应人</w:t>
            </w:r>
          </w:p>
          <w:p>
            <w:pPr>
              <w:jc w:val="center"/>
              <w:rPr>
                <w:rFonts w:ascii="宋体" w:hAnsi="宋体"/>
                <w:highlight w:val="none"/>
              </w:rPr>
            </w:pPr>
            <w:r>
              <w:rPr>
                <w:rFonts w:hint="eastAsia" w:ascii="宋体" w:hAnsi="宋体"/>
                <w:highlight w:val="none"/>
              </w:rPr>
              <w:t>提出问题的截止时间</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比选响应人对比选文件如有疑问，须于2020年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12</w:t>
            </w:r>
            <w:r>
              <w:rPr>
                <w:rFonts w:hint="eastAsia" w:ascii="宋体" w:hAnsi="宋体"/>
                <w:highlight w:val="none"/>
              </w:rPr>
              <w:t>日17:00前将疑问（原件需盖单位鲜章）以传真或电子邮件形式发至采购人传真号023-67153</w:t>
            </w:r>
            <w:r>
              <w:rPr>
                <w:rFonts w:hint="eastAsia" w:ascii="宋体" w:hAnsi="宋体"/>
                <w:highlight w:val="none"/>
                <w:lang w:val="en-US" w:eastAsia="zh-CN"/>
              </w:rPr>
              <w:t>676</w:t>
            </w:r>
            <w:r>
              <w:rPr>
                <w:rFonts w:hint="eastAsia" w:ascii="宋体" w:hAnsi="宋体"/>
                <w:highlight w:val="none"/>
              </w:rPr>
              <w:t>或电子邮箱603300479@qq.com，并电话通知采购人。过期不再受理。采购人将答疑在重庆江北机场官网（www.c</w:t>
            </w:r>
            <w:r>
              <w:rPr>
                <w:rFonts w:hint="eastAsia" w:ascii="宋体" w:hAnsi="宋体"/>
                <w:highlight w:val="none"/>
                <w:lang w:val="en-US" w:eastAsia="zh-CN"/>
              </w:rPr>
              <w:t>qa</w:t>
            </w:r>
            <w:r>
              <w:rPr>
                <w:rFonts w:hint="eastAsia" w:ascii="宋体" w:hAnsi="宋体"/>
                <w:highlight w:val="none"/>
              </w:rPr>
              <w:t>.cn）以公告形式发布，各比选响应人应当随时关注重庆江北机场官网（www.c</w:t>
            </w:r>
            <w:r>
              <w:rPr>
                <w:rFonts w:hint="eastAsia" w:ascii="宋体" w:hAnsi="宋体"/>
                <w:highlight w:val="none"/>
                <w:lang w:val="en-US" w:eastAsia="zh-CN"/>
              </w:rPr>
              <w:t>qa</w:t>
            </w:r>
            <w:r>
              <w:rPr>
                <w:rFonts w:hint="eastAsia" w:ascii="宋体" w:hAnsi="宋体"/>
                <w:highlight w:val="none"/>
              </w:rPr>
              <w:t>.cn）所发布的相关答疑资料，各比选响应人不管下载与否都将视为已知晓。由此产生的一切后果由比选响应人自负。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2.1</w:t>
            </w:r>
          </w:p>
        </w:tc>
        <w:tc>
          <w:tcPr>
            <w:tcW w:w="1680" w:type="dxa"/>
            <w:vAlign w:val="center"/>
          </w:tcPr>
          <w:p>
            <w:pPr>
              <w:jc w:val="center"/>
              <w:rPr>
                <w:rFonts w:ascii="宋体" w:hAnsi="宋体"/>
                <w:highlight w:val="none"/>
              </w:rPr>
            </w:pPr>
            <w:r>
              <w:rPr>
                <w:rFonts w:hint="eastAsia" w:ascii="宋体" w:hAnsi="宋体"/>
                <w:highlight w:val="none"/>
              </w:rPr>
              <w:t>构成比选响应文件的其他材料</w:t>
            </w:r>
          </w:p>
        </w:tc>
        <w:tc>
          <w:tcPr>
            <w:tcW w:w="6300" w:type="dxa"/>
            <w:vAlign w:val="center"/>
          </w:tcPr>
          <w:p>
            <w:pPr>
              <w:ind w:firstLine="480" w:firstLineChars="200"/>
              <w:rPr>
                <w:rFonts w:ascii="宋体" w:hAnsi="宋体"/>
                <w:highlight w:val="none"/>
              </w:rPr>
            </w:pPr>
            <w:r>
              <w:rPr>
                <w:rFonts w:hint="eastAsia" w:ascii="宋体" w:hAnsi="宋体"/>
                <w:highlight w:val="none"/>
              </w:rPr>
              <w:t>采购人发出的补充、澄清文件及补遗书。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050" w:type="dxa"/>
            <w:vAlign w:val="center"/>
          </w:tcPr>
          <w:p>
            <w:pPr>
              <w:jc w:val="center"/>
              <w:rPr>
                <w:rFonts w:ascii="宋体" w:hAnsi="宋体"/>
                <w:highlight w:val="none"/>
              </w:rPr>
            </w:pPr>
            <w:r>
              <w:rPr>
                <w:rFonts w:hint="eastAsia" w:ascii="宋体" w:hAnsi="宋体"/>
                <w:highlight w:val="none"/>
              </w:rPr>
              <w:t>2.2.1</w:t>
            </w:r>
          </w:p>
        </w:tc>
        <w:tc>
          <w:tcPr>
            <w:tcW w:w="1680" w:type="dxa"/>
            <w:vAlign w:val="center"/>
          </w:tcPr>
          <w:p>
            <w:pPr>
              <w:jc w:val="center"/>
              <w:rPr>
                <w:rFonts w:ascii="宋体" w:hAnsi="宋体"/>
                <w:highlight w:val="none"/>
              </w:rPr>
            </w:pPr>
            <w:r>
              <w:rPr>
                <w:rFonts w:hint="eastAsia" w:ascii="宋体" w:hAnsi="宋体"/>
                <w:highlight w:val="none"/>
              </w:rPr>
              <w:t>采购人的澄清时间</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比选文件澄清、补遗的内容在投标截止时间2020年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15</w:t>
            </w:r>
            <w:r>
              <w:rPr>
                <w:rFonts w:hint="eastAsia" w:ascii="宋体" w:hAnsi="宋体"/>
                <w:highlight w:val="none"/>
              </w:rPr>
              <w:t>日17:00前在重庆江北机场官网（www.c</w:t>
            </w:r>
            <w:r>
              <w:rPr>
                <w:rFonts w:hint="eastAsia" w:ascii="宋体" w:hAnsi="宋体"/>
                <w:highlight w:val="none"/>
                <w:lang w:val="en-US" w:eastAsia="zh-CN"/>
              </w:rPr>
              <w:t>qa</w:t>
            </w:r>
            <w:r>
              <w:rPr>
                <w:rFonts w:hint="eastAsia" w:ascii="宋体" w:hAnsi="宋体"/>
                <w:highlight w:val="none"/>
              </w:rPr>
              <w:t>.cn）以公告形式发布，各比选响应人应当随时关注重庆江北机场官网（www.c</w:t>
            </w:r>
            <w:r>
              <w:rPr>
                <w:rFonts w:hint="eastAsia" w:ascii="宋体" w:hAnsi="宋体"/>
                <w:highlight w:val="none"/>
                <w:lang w:val="en-US" w:eastAsia="zh-CN"/>
              </w:rPr>
              <w:t>qa</w:t>
            </w:r>
            <w:r>
              <w:rPr>
                <w:rFonts w:hint="eastAsia" w:ascii="宋体" w:hAnsi="宋体"/>
                <w:highlight w:val="none"/>
              </w:rPr>
              <w:t>.cn）发布的相关澄清、补遗资料，各比选响应人不管下载与否都将被视为已知晓。由此产生的一切后果由比选响应人自负。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2.2.2</w:t>
            </w:r>
          </w:p>
        </w:tc>
        <w:tc>
          <w:tcPr>
            <w:tcW w:w="1680" w:type="dxa"/>
            <w:vAlign w:val="center"/>
          </w:tcPr>
          <w:p>
            <w:pPr>
              <w:jc w:val="center"/>
              <w:rPr>
                <w:rFonts w:ascii="宋体" w:hAnsi="宋体"/>
                <w:highlight w:val="none"/>
              </w:rPr>
            </w:pPr>
            <w:r>
              <w:rPr>
                <w:rFonts w:hint="eastAsia" w:ascii="宋体" w:hAnsi="宋体"/>
                <w:highlight w:val="none"/>
              </w:rPr>
              <w:t>投标截止时间</w:t>
            </w:r>
          </w:p>
        </w:tc>
        <w:tc>
          <w:tcPr>
            <w:tcW w:w="6300" w:type="dxa"/>
            <w:vAlign w:val="center"/>
          </w:tcPr>
          <w:p>
            <w:pPr>
              <w:adjustRightInd w:val="0"/>
              <w:snapToGrid w:val="0"/>
              <w:ind w:firstLine="480" w:firstLineChars="200"/>
              <w:rPr>
                <w:rFonts w:ascii="宋体" w:hAnsi="宋体"/>
                <w:highlight w:val="none"/>
              </w:rPr>
            </w:pPr>
            <w:r>
              <w:rPr>
                <w:rFonts w:hint="eastAsia" w:ascii="宋体" w:hAnsi="宋体"/>
                <w:highlight w:val="none"/>
              </w:rPr>
              <w:t>递交比选响应文件时间: 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16</w:t>
            </w:r>
            <w:r>
              <w:rPr>
                <w:rFonts w:hint="eastAsia" w:ascii="宋体" w:hAnsi="宋体"/>
                <w:highlight w:val="none"/>
              </w:rPr>
              <w:t>日上午9：00-10：00（北京时间）</w:t>
            </w:r>
          </w:p>
          <w:p>
            <w:pPr>
              <w:snapToGrid w:val="0"/>
              <w:ind w:firstLine="480" w:firstLineChars="200"/>
              <w:rPr>
                <w:rFonts w:ascii="宋体" w:hAnsi="宋体" w:cs="宋体"/>
                <w:kern w:val="0"/>
                <w:highlight w:val="none"/>
              </w:rPr>
            </w:pPr>
            <w:r>
              <w:rPr>
                <w:rFonts w:hint="eastAsia" w:ascii="宋体" w:hAnsi="宋体"/>
                <w:highlight w:val="none"/>
              </w:rPr>
              <w:t>投标截止时间：2020年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16</w:t>
            </w:r>
            <w:r>
              <w:rPr>
                <w:rFonts w:hint="eastAsia" w:ascii="宋体" w:hAnsi="宋体"/>
                <w:highlight w:val="none"/>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3.1</w:t>
            </w:r>
          </w:p>
        </w:tc>
        <w:tc>
          <w:tcPr>
            <w:tcW w:w="1680" w:type="dxa"/>
            <w:vAlign w:val="center"/>
          </w:tcPr>
          <w:p>
            <w:pPr>
              <w:jc w:val="center"/>
              <w:rPr>
                <w:rFonts w:ascii="宋体" w:hAnsi="宋体"/>
                <w:highlight w:val="none"/>
              </w:rPr>
            </w:pPr>
            <w:r>
              <w:rPr>
                <w:rFonts w:hint="eastAsia" w:ascii="宋体" w:hAnsi="宋体"/>
                <w:highlight w:val="none"/>
              </w:rPr>
              <w:t>构成比选响应文件的其他材料</w:t>
            </w:r>
          </w:p>
        </w:tc>
        <w:tc>
          <w:tcPr>
            <w:tcW w:w="6300" w:type="dxa"/>
            <w:vAlign w:val="center"/>
          </w:tcPr>
          <w:p>
            <w:pPr>
              <w:ind w:firstLine="464" w:firstLineChars="200"/>
              <w:rPr>
                <w:rFonts w:ascii="宋体" w:hAnsi="宋体"/>
                <w:spacing w:val="-4"/>
                <w:highlight w:val="none"/>
              </w:rPr>
            </w:pPr>
            <w:r>
              <w:rPr>
                <w:rFonts w:hint="eastAsia" w:ascii="宋体" w:hAnsi="宋体" w:cs="宋体"/>
                <w:spacing w:val="-4"/>
                <w:highlight w:val="none"/>
              </w:rPr>
              <w:t>比选响应人的书面澄清、说明和补正（但不得改变比选响应文件的实质性内容）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3.2</w:t>
            </w:r>
          </w:p>
        </w:tc>
        <w:tc>
          <w:tcPr>
            <w:tcW w:w="1680" w:type="dxa"/>
            <w:vAlign w:val="center"/>
          </w:tcPr>
          <w:p>
            <w:pPr>
              <w:jc w:val="center"/>
              <w:rPr>
                <w:rFonts w:ascii="宋体" w:hAnsi="宋体"/>
                <w:highlight w:val="none"/>
              </w:rPr>
            </w:pPr>
            <w:r>
              <w:rPr>
                <w:rFonts w:hint="eastAsia" w:ascii="宋体" w:hAnsi="宋体"/>
                <w:highlight w:val="none"/>
              </w:rPr>
              <w:t>投标有效期</w:t>
            </w:r>
          </w:p>
        </w:tc>
        <w:tc>
          <w:tcPr>
            <w:tcW w:w="6300" w:type="dxa"/>
            <w:vAlign w:val="center"/>
          </w:tcPr>
          <w:p>
            <w:pPr>
              <w:ind w:firstLine="480" w:firstLineChars="200"/>
              <w:jc w:val="left"/>
              <w:rPr>
                <w:rFonts w:ascii="宋体" w:hAnsi="宋体"/>
                <w:highlight w:val="none"/>
              </w:rPr>
            </w:pPr>
            <w:r>
              <w:rPr>
                <w:rFonts w:hint="eastAsia" w:ascii="宋体" w:hAnsi="宋体"/>
                <w:highlight w:val="none"/>
              </w:rPr>
              <w:t>90日历天（从提交比选响应文件截止日起计算）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3.3</w:t>
            </w:r>
          </w:p>
        </w:tc>
        <w:tc>
          <w:tcPr>
            <w:tcW w:w="1680" w:type="dxa"/>
            <w:vAlign w:val="center"/>
          </w:tcPr>
          <w:p>
            <w:pPr>
              <w:jc w:val="center"/>
              <w:rPr>
                <w:rFonts w:ascii="宋体" w:hAnsi="宋体"/>
                <w:highlight w:val="none"/>
              </w:rPr>
            </w:pPr>
            <w:r>
              <w:rPr>
                <w:rFonts w:hint="eastAsia" w:ascii="宋体" w:hAnsi="宋体"/>
                <w:highlight w:val="none"/>
              </w:rPr>
              <w:t>投标保证金</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1.保 证 金：金额为人民币4000元整。</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2.提交方式：比选响应人企业基本账户银行转账。比选响应人提交投标保证金后应到采购人财务部（重庆市渝北区机场东二路19号重庆机场集团有限公司办公楼5楼）换取保证金收据，</w:t>
            </w:r>
            <w:r>
              <w:rPr>
                <w:rFonts w:hint="eastAsia" w:ascii="宋体" w:hAnsi="宋体"/>
                <w:b/>
                <w:highlight w:val="none"/>
              </w:rPr>
              <w:t>并将保证金收据复印件装入比选响应文件中。</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开户名：重庆机场集团有限公司</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开户银行：建设银行渝北支行机场分理处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账号：</w:t>
            </w:r>
            <w:r>
              <w:rPr>
                <w:rFonts w:ascii="宋体" w:hAnsi="宋体"/>
                <w:highlight w:val="none"/>
              </w:rPr>
              <w:t>5000</w:t>
            </w:r>
            <w:r>
              <w:rPr>
                <w:rFonts w:hint="eastAsia" w:ascii="宋体" w:hAnsi="宋体"/>
                <w:highlight w:val="none"/>
              </w:rPr>
              <w:t xml:space="preserve"> </w:t>
            </w:r>
            <w:r>
              <w:rPr>
                <w:rFonts w:ascii="宋体" w:hAnsi="宋体"/>
                <w:highlight w:val="none"/>
              </w:rPr>
              <w:t>1083</w:t>
            </w:r>
            <w:r>
              <w:rPr>
                <w:rFonts w:hint="eastAsia" w:ascii="宋体" w:hAnsi="宋体"/>
                <w:highlight w:val="none"/>
              </w:rPr>
              <w:t xml:space="preserve"> </w:t>
            </w:r>
            <w:r>
              <w:rPr>
                <w:rFonts w:ascii="宋体" w:hAnsi="宋体"/>
                <w:highlight w:val="none"/>
              </w:rPr>
              <w:t>8000</w:t>
            </w:r>
            <w:r>
              <w:rPr>
                <w:rFonts w:hint="eastAsia" w:ascii="宋体" w:hAnsi="宋体"/>
                <w:highlight w:val="none"/>
              </w:rPr>
              <w:t xml:space="preserve"> </w:t>
            </w:r>
            <w:r>
              <w:rPr>
                <w:rFonts w:ascii="宋体" w:hAnsi="宋体"/>
                <w:highlight w:val="none"/>
              </w:rPr>
              <w:t>5000</w:t>
            </w:r>
            <w:r>
              <w:rPr>
                <w:rFonts w:hint="eastAsia" w:ascii="宋体" w:hAnsi="宋体"/>
                <w:highlight w:val="none"/>
              </w:rPr>
              <w:t xml:space="preserve"> </w:t>
            </w:r>
            <w:r>
              <w:rPr>
                <w:rFonts w:ascii="宋体" w:hAnsi="宋体"/>
                <w:highlight w:val="none"/>
              </w:rPr>
              <w:t>04</w:t>
            </w:r>
            <w:r>
              <w:rPr>
                <w:rFonts w:hint="eastAsia" w:ascii="宋体" w:hAnsi="宋体"/>
                <w:highlight w:val="none"/>
              </w:rPr>
              <w:t>47</w:t>
            </w:r>
          </w:p>
          <w:p>
            <w:pPr>
              <w:tabs>
                <w:tab w:val="left" w:pos="546"/>
                <w:tab w:val="left" w:pos="711"/>
              </w:tabs>
              <w:snapToGrid w:val="0"/>
              <w:ind w:firstLine="482" w:firstLineChars="200"/>
              <w:rPr>
                <w:rFonts w:ascii="宋体" w:hAnsi="宋体"/>
                <w:highlight w:val="none"/>
              </w:rPr>
            </w:pPr>
            <w:r>
              <w:rPr>
                <w:rFonts w:hint="eastAsia" w:ascii="宋体" w:hAnsi="宋体"/>
                <w:b/>
                <w:highlight w:val="none"/>
                <w:u w:val="single"/>
              </w:rPr>
              <w:t>注意：比选响应人递交比选响应文件时应出示采购人财务部开具的项目投标保证金收据原件，否则，采购人将拒收比选响应文件。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3.提交时间：比选前</w:t>
            </w:r>
          </w:p>
          <w:p>
            <w:pPr>
              <w:ind w:firstLine="480" w:firstLineChars="200"/>
              <w:jc w:val="left"/>
              <w:rPr>
                <w:rFonts w:ascii="宋体" w:hAnsi="宋体"/>
                <w:highlight w:val="none"/>
              </w:rPr>
            </w:pPr>
            <w:r>
              <w:rPr>
                <w:rFonts w:hint="eastAsia" w:ascii="宋体" w:hAnsi="宋体"/>
                <w:highlight w:val="none"/>
              </w:rPr>
              <w:t>4.投标保证金的退还</w:t>
            </w:r>
          </w:p>
          <w:p>
            <w:pPr>
              <w:ind w:firstLine="480" w:firstLineChars="200"/>
              <w:jc w:val="left"/>
              <w:rPr>
                <w:rFonts w:ascii="宋体" w:hAnsi="宋体"/>
                <w:highlight w:val="none"/>
              </w:rPr>
            </w:pPr>
            <w:r>
              <w:rPr>
                <w:rFonts w:hint="eastAsia" w:ascii="宋体" w:hAnsi="宋体"/>
                <w:highlight w:val="none"/>
              </w:rPr>
              <w:t>中选候选人以外的投标保证金在中选结果公示期结束且无异议后，投标单位开具收据并加盖投标单位财务专用章，附投标单位账户信息一并递交</w:t>
            </w:r>
            <w:r>
              <w:rPr>
                <w:rFonts w:hint="eastAsia" w:ascii="宋体" w:hAnsi="宋体"/>
                <w:highlight w:val="none"/>
                <w:lang w:eastAsia="zh-CN"/>
              </w:rPr>
              <w:t>我司</w:t>
            </w:r>
            <w:r>
              <w:rPr>
                <w:rFonts w:hint="eastAsia" w:ascii="宋体" w:hAnsi="宋体"/>
                <w:highlight w:val="none"/>
              </w:rPr>
              <w:t>航站楼管理部，我</w:t>
            </w:r>
            <w:r>
              <w:rPr>
                <w:rFonts w:hint="eastAsia" w:ascii="宋体" w:hAnsi="宋体"/>
                <w:highlight w:val="none"/>
                <w:lang w:eastAsia="zh-CN"/>
              </w:rPr>
              <w:t>部</w:t>
            </w:r>
            <w:r>
              <w:rPr>
                <w:rFonts w:hint="eastAsia" w:ascii="宋体" w:hAnsi="宋体"/>
                <w:highlight w:val="none"/>
              </w:rPr>
              <w:t>凭借该收据根据相关规定在20个工作日内将投标保证金以</w:t>
            </w:r>
            <w:r>
              <w:rPr>
                <w:rFonts w:hint="eastAsia" w:ascii="宋体" w:hAnsi="宋体"/>
                <w:highlight w:val="none"/>
                <w:u w:val="single"/>
              </w:rPr>
              <w:t>银行转账</w:t>
            </w:r>
            <w:r>
              <w:rPr>
                <w:rFonts w:hint="eastAsia" w:ascii="宋体" w:hAnsi="宋体"/>
                <w:highlight w:val="none"/>
              </w:rPr>
              <w:t>方式退还到比选响应人。</w:t>
            </w:r>
          </w:p>
          <w:p>
            <w:pPr>
              <w:ind w:firstLine="480" w:firstLineChars="200"/>
              <w:jc w:val="left"/>
              <w:rPr>
                <w:rFonts w:ascii="宋体" w:hAnsi="宋体"/>
                <w:highlight w:val="none"/>
              </w:rPr>
            </w:pPr>
            <w:r>
              <w:rPr>
                <w:rFonts w:hint="eastAsia" w:ascii="宋体" w:hAnsi="宋体"/>
                <w:highlight w:val="none"/>
              </w:rPr>
              <w:t>本次投标保证金递交期间不计利息。</w:t>
            </w:r>
          </w:p>
          <w:p>
            <w:pPr>
              <w:ind w:firstLine="480" w:firstLineChars="20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jc w:val="center"/>
              <w:rPr>
                <w:rFonts w:ascii="宋体" w:hAnsi="宋体" w:eastAsia="仿宋_GB2312" w:cs="宋体"/>
                <w:kern w:val="0"/>
                <w:highlight w:val="none"/>
              </w:rPr>
            </w:pPr>
            <w:r>
              <w:rPr>
                <w:rFonts w:hint="eastAsia" w:ascii="宋体" w:hAnsi="宋体" w:cs="宋体"/>
                <w:kern w:val="0"/>
                <w:highlight w:val="none"/>
              </w:rPr>
              <w:t>3.4</w:t>
            </w:r>
          </w:p>
        </w:tc>
        <w:tc>
          <w:tcPr>
            <w:tcW w:w="1680" w:type="dxa"/>
            <w:vAlign w:val="center"/>
          </w:tcPr>
          <w:p>
            <w:pPr>
              <w:snapToGrid w:val="0"/>
              <w:jc w:val="center"/>
              <w:rPr>
                <w:rFonts w:ascii="宋体" w:hAnsi="宋体" w:eastAsia="仿宋_GB2312" w:cs="宋体"/>
                <w:kern w:val="0"/>
                <w:highlight w:val="none"/>
              </w:rPr>
            </w:pPr>
            <w:r>
              <w:rPr>
                <w:rFonts w:hint="eastAsia" w:ascii="宋体" w:hAnsi="宋体"/>
                <w:highlight w:val="none"/>
              </w:rPr>
              <w:t>投标报价</w:t>
            </w:r>
          </w:p>
        </w:tc>
        <w:tc>
          <w:tcPr>
            <w:tcW w:w="6300" w:type="dxa"/>
            <w:vAlign w:val="center"/>
          </w:tcPr>
          <w:p>
            <w:pPr>
              <w:ind w:firstLine="480" w:firstLineChars="200"/>
              <w:jc w:val="left"/>
              <w:rPr>
                <w:rFonts w:ascii="宋体" w:hAnsi="宋体"/>
                <w:highlight w:val="none"/>
              </w:rPr>
            </w:pPr>
            <w:bookmarkStart w:id="85" w:name="_Toc319910146"/>
            <w:bookmarkStart w:id="86" w:name="_Toc371888758"/>
            <w:bookmarkStart w:id="87" w:name="_Toc402532680"/>
            <w:bookmarkStart w:id="88" w:name="_Toc402532852"/>
            <w:bookmarkStart w:id="89" w:name="_Toc286304193"/>
            <w:bookmarkStart w:id="90" w:name="_Toc306739481"/>
            <w:bookmarkStart w:id="91" w:name="_Toc306789779"/>
            <w:bookmarkStart w:id="92" w:name="_Toc401925952"/>
            <w:bookmarkStart w:id="93" w:name="_Toc320172044"/>
            <w:bookmarkStart w:id="94" w:name="_Toc406071898"/>
            <w:bookmarkStart w:id="95" w:name="_Toc373765986"/>
            <w:r>
              <w:rPr>
                <w:rFonts w:hint="eastAsia" w:ascii="宋体" w:hAnsi="宋体"/>
                <w:highlight w:val="none"/>
              </w:rPr>
              <w:t>本项目采购人设最高限价，最高限价（不含税价）为</w:t>
            </w:r>
            <w:r>
              <w:rPr>
                <w:rFonts w:hint="eastAsia" w:ascii="宋体" w:hAnsi="宋体"/>
                <w:highlight w:val="none"/>
                <w:u w:val="single"/>
              </w:rPr>
              <w:t xml:space="preserve"> </w:t>
            </w:r>
            <w:r>
              <w:rPr>
                <w:rFonts w:hint="eastAsia" w:ascii="宋体" w:hAnsi="宋体"/>
                <w:highlight w:val="none"/>
                <w:u w:val="single"/>
                <w:lang w:val="en-US" w:eastAsia="zh-CN"/>
              </w:rPr>
              <w:t>19</w:t>
            </w:r>
            <w:r>
              <w:rPr>
                <w:rFonts w:hint="eastAsia" w:ascii="宋体" w:hAnsi="宋体"/>
                <w:highlight w:val="none"/>
                <w:u w:val="single"/>
              </w:rPr>
              <w:t xml:space="preserve"> </w:t>
            </w:r>
            <w:r>
              <w:rPr>
                <w:rFonts w:hint="eastAsia" w:ascii="宋体" w:hAnsi="宋体"/>
                <w:highlight w:val="none"/>
              </w:rPr>
              <w:t>万元人民币。</w:t>
            </w:r>
          </w:p>
          <w:p>
            <w:pPr>
              <w:ind w:firstLine="480" w:firstLineChars="200"/>
              <w:jc w:val="left"/>
              <w:rPr>
                <w:rFonts w:ascii="宋体" w:hAnsi="宋体"/>
                <w:highlight w:val="none"/>
              </w:rPr>
            </w:pPr>
            <w:r>
              <w:rPr>
                <w:rFonts w:hint="eastAsia" w:ascii="宋体" w:hAnsi="宋体"/>
                <w:highlight w:val="none"/>
              </w:rPr>
              <w:t>1.比选响应人的报价应包含为完成本项目各阶段服务所发生的相应费用。</w:t>
            </w:r>
          </w:p>
          <w:bookmarkEnd w:id="85"/>
          <w:bookmarkEnd w:id="86"/>
          <w:bookmarkEnd w:id="87"/>
          <w:bookmarkEnd w:id="88"/>
          <w:bookmarkEnd w:id="89"/>
          <w:bookmarkEnd w:id="90"/>
          <w:bookmarkEnd w:id="91"/>
          <w:bookmarkEnd w:id="92"/>
          <w:bookmarkEnd w:id="93"/>
          <w:bookmarkEnd w:id="94"/>
          <w:bookmarkEnd w:id="95"/>
          <w:p>
            <w:pPr>
              <w:ind w:left="480" w:leftChars="200"/>
              <w:jc w:val="left"/>
              <w:rPr>
                <w:rFonts w:ascii="宋体" w:hAnsi="宋体"/>
                <w:highlight w:val="none"/>
              </w:rPr>
            </w:pPr>
            <w:r>
              <w:rPr>
                <w:rFonts w:hint="eastAsia" w:ascii="宋体" w:hAnsi="宋体"/>
                <w:highlight w:val="none"/>
              </w:rPr>
              <w:t>2.纳税人条款：比选响应人必须提供增值税专用发票。</w:t>
            </w:r>
          </w:p>
          <w:p>
            <w:pPr>
              <w:ind w:left="480" w:leftChars="200"/>
              <w:jc w:val="left"/>
              <w:rPr>
                <w:rFonts w:ascii="宋体" w:hAnsi="宋体"/>
                <w:highlight w:val="none"/>
              </w:rPr>
            </w:pPr>
            <w:bookmarkStart w:id="96" w:name="_Toc306739484"/>
            <w:bookmarkStart w:id="97" w:name="_Toc371888761"/>
            <w:bookmarkStart w:id="98" w:name="_Toc373765989"/>
            <w:bookmarkStart w:id="99" w:name="_Toc286304196"/>
            <w:bookmarkStart w:id="100" w:name="_Toc402532855"/>
            <w:bookmarkStart w:id="101" w:name="_Toc320172047"/>
            <w:bookmarkStart w:id="102" w:name="_Toc306789782"/>
            <w:bookmarkStart w:id="103" w:name="_Toc401925955"/>
            <w:bookmarkStart w:id="104" w:name="_Toc406071901"/>
            <w:bookmarkStart w:id="105" w:name="_Toc319910149"/>
            <w:bookmarkStart w:id="106" w:name="_Toc402532683"/>
            <w:bookmarkStart w:id="107" w:name="_Toc402532689"/>
            <w:bookmarkStart w:id="108" w:name="_Toc401925960"/>
            <w:bookmarkStart w:id="109" w:name="_Toc286304201"/>
            <w:bookmarkStart w:id="110" w:name="_Toc320172052"/>
            <w:bookmarkStart w:id="111" w:name="_Toc371888766"/>
            <w:bookmarkStart w:id="112" w:name="_Toc404336474"/>
            <w:bookmarkStart w:id="113" w:name="_Toc406071906"/>
            <w:bookmarkStart w:id="114" w:name="_Toc290751459"/>
            <w:bookmarkStart w:id="115" w:name="_Toc319910154"/>
            <w:bookmarkStart w:id="116" w:name="_Toc197092200"/>
            <w:bookmarkStart w:id="117" w:name="_Toc402532861"/>
            <w:bookmarkStart w:id="118" w:name="_Toc191102552"/>
            <w:bookmarkStart w:id="119" w:name="_Toc402509762"/>
            <w:bookmarkStart w:id="120" w:name="_Toc191101855"/>
            <w:bookmarkStart w:id="121" w:name="_Toc191102366"/>
            <w:bookmarkStart w:id="122" w:name="_Toc286150369"/>
            <w:bookmarkStart w:id="123" w:name="_Toc340692281"/>
            <w:bookmarkStart w:id="124" w:name="_Toc306739489"/>
            <w:bookmarkStart w:id="125" w:name="_Toc197156110"/>
            <w:bookmarkStart w:id="126" w:name="_Toc373765994"/>
            <w:bookmarkStart w:id="127" w:name="_Toc306789787"/>
            <w:bookmarkStart w:id="128" w:name="_Toc340765831"/>
            <w:bookmarkStart w:id="129" w:name="_Toc310342074"/>
            <w:bookmarkStart w:id="130" w:name="_Toc324941546"/>
            <w:bookmarkStart w:id="131" w:name="_Toc191101987"/>
            <w:bookmarkStart w:id="132" w:name="_Toc290751344"/>
            <w:r>
              <w:rPr>
                <w:rFonts w:hint="eastAsia" w:ascii="宋体" w:hAnsi="宋体"/>
                <w:highlight w:val="none"/>
              </w:rPr>
              <w:t>3.投标货币：投标报价的货币应为人民币。</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ind w:left="480" w:leftChars="200"/>
              <w:jc w:val="left"/>
              <w:rPr>
                <w:rFonts w:ascii="宋体" w:hAnsi="宋体"/>
                <w:highlight w:val="none"/>
              </w:rPr>
            </w:pPr>
            <w:r>
              <w:rPr>
                <w:rFonts w:hint="eastAsia" w:ascii="宋体" w:hAnsi="宋体"/>
                <w:highlight w:val="none"/>
              </w:rPr>
              <w:t>4.本项目设最高限价，投标报价不得高于最高限价，否则投标被否决。</w:t>
            </w:r>
          </w:p>
          <w:p>
            <w:pPr>
              <w:ind w:left="480" w:leftChars="200"/>
              <w:jc w:val="left"/>
              <w:rPr>
                <w:rFonts w:ascii="宋体" w:hAnsi="宋体"/>
                <w:highlight w:val="none"/>
              </w:rPr>
            </w:pPr>
            <w:r>
              <w:rPr>
                <w:rFonts w:hint="eastAsia" w:ascii="宋体" w:hAnsi="宋体"/>
                <w:highlight w:val="none"/>
              </w:rPr>
              <w:t>5.本项目所涉及的报价均为不含增值税税额的报价。</w:t>
            </w:r>
          </w:p>
          <w:p>
            <w:pPr>
              <w:ind w:firstLine="480" w:firstLineChars="200"/>
              <w:jc w:val="left"/>
              <w:rPr>
                <w:rFonts w:ascii="宋体" w:hAnsi="宋体"/>
                <w:highlight w:val="none"/>
                <w:lang w:val="en-GB"/>
              </w:rPr>
            </w:pPr>
            <w:r>
              <w:rPr>
                <w:rFonts w:hint="eastAsia" w:ascii="宋体" w:hAnsi="宋体"/>
                <w:highlight w:val="none"/>
                <w:lang w:val="en-GB"/>
              </w:rPr>
              <w:t>在修正范围内的以下情形不作为比选响应文件被否决的依据：</w:t>
            </w:r>
          </w:p>
          <w:p>
            <w:pPr>
              <w:ind w:firstLine="480" w:firstLineChars="200"/>
              <w:jc w:val="left"/>
              <w:rPr>
                <w:rFonts w:ascii="宋体" w:hAnsi="宋体"/>
                <w:highlight w:val="none"/>
              </w:rPr>
            </w:pPr>
            <w:r>
              <w:rPr>
                <w:rFonts w:hint="eastAsia" w:ascii="宋体" w:hAnsi="宋体"/>
                <w:highlight w:val="none"/>
              </w:rPr>
              <w:t>（1）比选响应文件中的大写金额与小写金额不一致的，以大写金额为准；</w:t>
            </w:r>
          </w:p>
          <w:p>
            <w:pPr>
              <w:ind w:firstLine="480" w:firstLineChars="200"/>
              <w:jc w:val="left"/>
              <w:rPr>
                <w:rFonts w:ascii="宋体" w:hAnsi="宋体"/>
                <w:highlight w:val="none"/>
              </w:rPr>
            </w:pPr>
            <w:r>
              <w:rPr>
                <w:rFonts w:hint="eastAsia" w:ascii="宋体" w:hAnsi="宋体"/>
                <w:highlight w:val="none"/>
              </w:rPr>
              <w:t>（2）数字表示的数额与用文字表示的数额不一致时，以文字数额为准；</w:t>
            </w:r>
          </w:p>
          <w:p>
            <w:pPr>
              <w:ind w:firstLine="480" w:firstLineChars="200"/>
              <w:jc w:val="left"/>
              <w:rPr>
                <w:rFonts w:ascii="宋体" w:hAnsi="宋体"/>
                <w:highlight w:val="none"/>
              </w:rPr>
            </w:pPr>
            <w:r>
              <w:rPr>
                <w:rFonts w:hint="eastAsia" w:ascii="宋体" w:hAnsi="宋体"/>
                <w:highlight w:val="none"/>
              </w:rPr>
              <w:t>（3）总价金额与依据单价计算出的结果不一致的，以单价金额为准修正总价，但单价金额小数点有明显错误的除外。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jc w:val="center"/>
              <w:rPr>
                <w:rFonts w:ascii="宋体" w:hAnsi="宋体" w:eastAsia="仿宋_GB2312" w:cs="宋体"/>
                <w:kern w:val="0"/>
                <w:highlight w:val="none"/>
              </w:rPr>
            </w:pPr>
            <w:r>
              <w:rPr>
                <w:rFonts w:hint="eastAsia" w:ascii="宋体" w:hAnsi="宋体" w:cs="宋体"/>
                <w:kern w:val="0"/>
                <w:highlight w:val="none"/>
              </w:rPr>
              <w:t>3.5</w:t>
            </w:r>
          </w:p>
        </w:tc>
        <w:tc>
          <w:tcPr>
            <w:tcW w:w="1680" w:type="dxa"/>
            <w:vAlign w:val="center"/>
          </w:tcPr>
          <w:p>
            <w:pPr>
              <w:snapToGrid w:val="0"/>
              <w:jc w:val="center"/>
              <w:rPr>
                <w:rFonts w:ascii="宋体" w:hAnsi="宋体" w:cs="宋体"/>
                <w:kern w:val="0"/>
                <w:highlight w:val="none"/>
              </w:rPr>
            </w:pPr>
            <w:r>
              <w:rPr>
                <w:rFonts w:hint="eastAsia" w:ascii="宋体" w:hAnsi="宋体" w:cs="宋体"/>
                <w:kern w:val="0"/>
                <w:highlight w:val="none"/>
              </w:rPr>
              <w:t>资格审查资料</w:t>
            </w:r>
          </w:p>
        </w:tc>
        <w:tc>
          <w:tcPr>
            <w:tcW w:w="6300" w:type="dxa"/>
            <w:vAlign w:val="center"/>
          </w:tcPr>
          <w:p>
            <w:pPr>
              <w:ind w:firstLine="480" w:firstLineChars="200"/>
              <w:rPr>
                <w:rFonts w:ascii="宋体" w:hAnsi="宋体" w:cs="宋体"/>
                <w:highlight w:val="none"/>
              </w:rPr>
            </w:pPr>
            <w:r>
              <w:rPr>
                <w:rFonts w:hint="eastAsia" w:ascii="宋体" w:hAnsi="宋体" w:cs="宋体"/>
                <w:highlight w:val="none"/>
              </w:rPr>
              <w:t>1.法人代表授权书（收原件）及法人身份证（收复印件）、被授权人身份证（收复印件）。</w:t>
            </w:r>
          </w:p>
          <w:p>
            <w:pPr>
              <w:ind w:left="480" w:leftChars="200"/>
              <w:rPr>
                <w:rFonts w:ascii="宋体" w:hAnsi="宋体" w:cs="宋体"/>
                <w:highlight w:val="none"/>
              </w:rPr>
            </w:pPr>
            <w:r>
              <w:rPr>
                <w:rFonts w:hint="eastAsia" w:ascii="宋体" w:hAnsi="宋体" w:cs="宋体"/>
                <w:highlight w:val="none"/>
              </w:rPr>
              <w:t>2.企业营业执照副本（收复印件）。</w:t>
            </w:r>
          </w:p>
          <w:p>
            <w:pPr>
              <w:ind w:left="480" w:leftChars="200"/>
              <w:rPr>
                <w:rFonts w:ascii="宋体" w:hAnsi="宋体" w:cs="宋体"/>
                <w:highlight w:val="none"/>
              </w:rPr>
            </w:pPr>
            <w:r>
              <w:rPr>
                <w:rFonts w:hint="eastAsia" w:ascii="宋体" w:hAnsi="宋体" w:cs="宋体"/>
                <w:highlight w:val="none"/>
              </w:rPr>
              <w:t>3.一般纳税人资格认证。</w:t>
            </w:r>
          </w:p>
          <w:p>
            <w:pPr>
              <w:ind w:firstLine="480" w:firstLineChars="200"/>
              <w:rPr>
                <w:rFonts w:ascii="宋体" w:hAnsi="宋体" w:cs="宋体"/>
                <w:highlight w:val="none"/>
              </w:rPr>
            </w:pPr>
            <w:r>
              <w:rPr>
                <w:rFonts w:hint="eastAsia" w:ascii="宋体" w:hAnsi="宋体" w:cs="宋体"/>
                <w:highlight w:val="none"/>
              </w:rPr>
              <w:t>以上资料均应加盖比选响应人鲜章。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eastAsia="仿宋_GB2312"/>
                <w:highlight w:val="none"/>
              </w:rPr>
            </w:pPr>
            <w:r>
              <w:rPr>
                <w:rFonts w:hint="eastAsia" w:ascii="宋体" w:hAnsi="宋体"/>
                <w:highlight w:val="none"/>
              </w:rPr>
              <w:t>3.6</w:t>
            </w:r>
          </w:p>
        </w:tc>
        <w:tc>
          <w:tcPr>
            <w:tcW w:w="1680" w:type="dxa"/>
            <w:vAlign w:val="center"/>
          </w:tcPr>
          <w:p>
            <w:pPr>
              <w:jc w:val="center"/>
              <w:rPr>
                <w:rFonts w:ascii="宋体" w:hAnsi="宋体"/>
                <w:highlight w:val="none"/>
              </w:rPr>
            </w:pPr>
            <w:r>
              <w:rPr>
                <w:rFonts w:hint="eastAsia" w:ascii="宋体" w:hAnsi="宋体"/>
                <w:highlight w:val="none"/>
              </w:rPr>
              <w:t>是否允许递交备选投标方案</w:t>
            </w:r>
          </w:p>
        </w:tc>
        <w:tc>
          <w:tcPr>
            <w:tcW w:w="6300" w:type="dxa"/>
            <w:vAlign w:val="center"/>
          </w:tcPr>
          <w:p>
            <w:pPr>
              <w:ind w:firstLine="480" w:firstLineChars="200"/>
              <w:rPr>
                <w:rFonts w:ascii="宋体" w:hAnsi="宋体"/>
                <w:highlight w:val="none"/>
              </w:rPr>
            </w:pPr>
            <w:r>
              <w:rPr>
                <w:rFonts w:hint="eastAsia" w:ascii="宋体" w:hAnsi="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3.7.1</w:t>
            </w:r>
          </w:p>
        </w:tc>
        <w:tc>
          <w:tcPr>
            <w:tcW w:w="1680" w:type="dxa"/>
            <w:vAlign w:val="center"/>
          </w:tcPr>
          <w:p>
            <w:pPr>
              <w:jc w:val="center"/>
              <w:rPr>
                <w:rFonts w:ascii="宋体" w:hAnsi="宋体"/>
                <w:highlight w:val="none"/>
              </w:rPr>
            </w:pPr>
            <w:r>
              <w:rPr>
                <w:rFonts w:hint="eastAsia" w:ascii="宋体" w:hAnsi="宋体"/>
                <w:highlight w:val="none"/>
              </w:rPr>
              <w:t>签字或盖章要求</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文件应用不褪色的材料书写或打印，并由比选响应人的法定代表人或其委托代理人签字、盖单位公章。委托代理人签字的，比选响应文件应附法定代表人签署的授权委托书。比选响应文件应尽量避免涂改、行间插字或删除。如果出现上述情况，改动之处应加盖单位公章或由比选响应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3.7.2</w:t>
            </w:r>
          </w:p>
        </w:tc>
        <w:tc>
          <w:tcPr>
            <w:tcW w:w="1680" w:type="dxa"/>
            <w:vAlign w:val="center"/>
          </w:tcPr>
          <w:p>
            <w:pPr>
              <w:jc w:val="center"/>
              <w:rPr>
                <w:rFonts w:ascii="宋体" w:hAnsi="宋体"/>
                <w:highlight w:val="none"/>
              </w:rPr>
            </w:pPr>
            <w:r>
              <w:rPr>
                <w:rFonts w:hint="eastAsia" w:ascii="宋体" w:hAnsi="宋体"/>
                <w:highlight w:val="none"/>
              </w:rPr>
              <w:t>比选响应文件副本份数</w:t>
            </w:r>
          </w:p>
        </w:tc>
        <w:tc>
          <w:tcPr>
            <w:tcW w:w="6300" w:type="dxa"/>
            <w:vAlign w:val="center"/>
          </w:tcPr>
          <w:p>
            <w:pPr>
              <w:ind w:firstLine="480" w:firstLineChars="200"/>
              <w:rPr>
                <w:rFonts w:ascii="宋体" w:hAnsi="宋体" w:cs="宋体"/>
                <w:highlight w:val="none"/>
              </w:rPr>
            </w:pPr>
            <w:r>
              <w:rPr>
                <w:rFonts w:hint="eastAsia" w:ascii="宋体" w:hAnsi="宋体" w:cs="宋体"/>
                <w:highlight w:val="none"/>
              </w:rPr>
              <w:t>1.投标函部分：一式三份，一正二副。</w:t>
            </w:r>
          </w:p>
          <w:p>
            <w:pPr>
              <w:ind w:firstLine="480" w:firstLineChars="200"/>
              <w:rPr>
                <w:rFonts w:ascii="宋体" w:hAnsi="宋体" w:cs="宋体"/>
                <w:highlight w:val="none"/>
              </w:rPr>
            </w:pPr>
            <w:r>
              <w:rPr>
                <w:rFonts w:hint="eastAsia" w:ascii="宋体" w:hAnsi="宋体" w:cs="宋体"/>
                <w:highlight w:val="none"/>
              </w:rPr>
              <w:t>2.资格审查资料：一式三份，一正二副。</w:t>
            </w:r>
          </w:p>
          <w:p>
            <w:pPr>
              <w:ind w:firstLine="480" w:firstLineChars="200"/>
              <w:rPr>
                <w:rFonts w:ascii="宋体" w:hAnsi="宋体"/>
                <w:highlight w:val="none"/>
              </w:rPr>
            </w:pPr>
            <w:r>
              <w:rPr>
                <w:rFonts w:hint="eastAsia" w:ascii="宋体" w:hAnsi="宋体" w:cs="宋体"/>
                <w:highlight w:val="none"/>
              </w:rPr>
              <w:t>3.电子比选响应文件：1份（U盘）（内容必须与所递交的纸质版比选响应文件内容相一致，U盘上注明投标单位名称和项目名称，盖单位公章）。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eastAsia="仿宋_GB2312"/>
                <w:highlight w:val="none"/>
              </w:rPr>
            </w:pPr>
            <w:r>
              <w:rPr>
                <w:rFonts w:hint="eastAsia" w:ascii="宋体" w:hAnsi="宋体"/>
                <w:highlight w:val="none"/>
              </w:rPr>
              <w:t>3.7.3</w:t>
            </w:r>
          </w:p>
        </w:tc>
        <w:tc>
          <w:tcPr>
            <w:tcW w:w="1680" w:type="dxa"/>
            <w:vAlign w:val="center"/>
          </w:tcPr>
          <w:p>
            <w:pPr>
              <w:jc w:val="center"/>
              <w:rPr>
                <w:rFonts w:ascii="宋体" w:hAnsi="宋体" w:eastAsia="仿宋_GB2312"/>
                <w:highlight w:val="none"/>
              </w:rPr>
            </w:pPr>
            <w:r>
              <w:rPr>
                <w:rFonts w:hint="eastAsia" w:ascii="宋体" w:hAnsi="宋体"/>
                <w:highlight w:val="none"/>
              </w:rPr>
              <w:t>装订</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文件须装订成一册（按投标函部分、资格审查资料顺序装订）。并应编制目录、标注页码，若装订过厚，也可分订成多册。所有比选响应文件不论使用任何方式进行装订，必须保证投标书装订牢固，否则，采购人对由于比选响应文件装订松散而造成的丢失或其他后果不承担任何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2.比选响应文件分为正本和副本，正本文件内签字和盖章须为原件。副本可为正本的复印件。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3.比选文件中已提供了比选响应文件格式的部分，须按其格式填写和提供。</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比选响应文件封面未标注正副本（密封袋封面无需标注正副本）或者各种活页类的比选响应文件将交由评审委员会作形式评审不合格处理。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3.7.4</w:t>
            </w:r>
          </w:p>
        </w:tc>
        <w:tc>
          <w:tcPr>
            <w:tcW w:w="1680" w:type="dxa"/>
            <w:vAlign w:val="center"/>
          </w:tcPr>
          <w:p>
            <w:pPr>
              <w:jc w:val="center"/>
              <w:rPr>
                <w:rFonts w:ascii="宋体" w:hAnsi="宋体"/>
                <w:highlight w:val="none"/>
              </w:rPr>
            </w:pPr>
            <w:r>
              <w:rPr>
                <w:rFonts w:hint="eastAsia" w:ascii="宋体" w:hAnsi="宋体"/>
                <w:highlight w:val="none"/>
              </w:rPr>
              <w:t>密封</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1.比选响应文件袋使用比选响应人自备的“比选响应文件”袋（箱）。</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 xml:space="preserve">2.纸质比选响应文件与电子版比选响应文件（U盘）一起装入“比选响应文件”袋（箱）中，密封并在袋上加盖比选响应人单位鲜公章。 </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3.如果“比选响应文件”袋没有按本比选响应文件规定密封和盖章的，采购人可拒绝接收。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（1）若比选响应文件较厚，上述比选响应文件不能装入相应的一个袋（箱）中，比选响应人可按上述要求增加比选响应文件袋（箱）。</w:t>
            </w:r>
          </w:p>
          <w:p>
            <w:pPr>
              <w:tabs>
                <w:tab w:val="left" w:pos="546"/>
                <w:tab w:val="left" w:pos="711"/>
              </w:tabs>
              <w:snapToGrid w:val="0"/>
              <w:ind w:firstLine="480" w:firstLineChars="200"/>
              <w:rPr>
                <w:rFonts w:ascii="宋体" w:hAnsi="宋体"/>
                <w:b/>
                <w:bCs/>
                <w:highlight w:val="none"/>
              </w:rPr>
            </w:pPr>
            <w:r>
              <w:rPr>
                <w:rFonts w:hint="eastAsia" w:ascii="宋体" w:hAnsi="宋体"/>
                <w:highlight w:val="none"/>
              </w:rPr>
              <w:t>（2）比选响应文件袋可由比选响应人自制，也可采用盒（箱）装的形式，但需满足相关密封及标记要求。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4.1.1</w:t>
            </w:r>
          </w:p>
        </w:tc>
        <w:tc>
          <w:tcPr>
            <w:tcW w:w="1680" w:type="dxa"/>
            <w:vAlign w:val="center"/>
          </w:tcPr>
          <w:p>
            <w:pPr>
              <w:jc w:val="center"/>
              <w:rPr>
                <w:rFonts w:ascii="宋体" w:hAnsi="宋体"/>
                <w:highlight w:val="none"/>
              </w:rPr>
            </w:pPr>
            <w:r>
              <w:rPr>
                <w:rFonts w:hint="eastAsia" w:ascii="宋体" w:hAnsi="宋体"/>
                <w:highlight w:val="none"/>
              </w:rPr>
              <w:t>递交比选响应文件地点</w:t>
            </w:r>
          </w:p>
        </w:tc>
        <w:tc>
          <w:tcPr>
            <w:tcW w:w="6300" w:type="dxa"/>
            <w:vAlign w:val="center"/>
          </w:tcPr>
          <w:p>
            <w:pPr>
              <w:ind w:firstLine="480" w:firstLineChars="200"/>
              <w:rPr>
                <w:rFonts w:ascii="宋体" w:hAnsi="宋体"/>
                <w:highlight w:val="none"/>
              </w:rPr>
            </w:pPr>
            <w:r>
              <w:rPr>
                <w:rFonts w:hint="eastAsia"/>
                <w:highlight w:val="none"/>
                <w:lang w:eastAsia="zh-CN"/>
              </w:rPr>
              <w:t>江北机场</w:t>
            </w:r>
            <w:r>
              <w:rPr>
                <w:rFonts w:hint="eastAsia"/>
                <w:highlight w:val="none"/>
                <w:lang w:val="en-US" w:eastAsia="zh-CN"/>
              </w:rPr>
              <w:t>T3A航站楼31117房间（东航站区派出所旁）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4.1.2</w:t>
            </w:r>
          </w:p>
        </w:tc>
        <w:tc>
          <w:tcPr>
            <w:tcW w:w="1680" w:type="dxa"/>
            <w:vAlign w:val="center"/>
          </w:tcPr>
          <w:p>
            <w:pPr>
              <w:jc w:val="center"/>
              <w:rPr>
                <w:rFonts w:ascii="宋体" w:hAnsi="宋体"/>
                <w:highlight w:val="none"/>
              </w:rPr>
            </w:pPr>
            <w:r>
              <w:rPr>
                <w:rFonts w:hint="eastAsia" w:ascii="宋体" w:hAnsi="宋体"/>
                <w:highlight w:val="none"/>
              </w:rPr>
              <w:t>是否退还比选响应文件</w:t>
            </w:r>
          </w:p>
        </w:tc>
        <w:tc>
          <w:tcPr>
            <w:tcW w:w="6300" w:type="dxa"/>
            <w:vAlign w:val="center"/>
          </w:tcPr>
          <w:p>
            <w:pPr>
              <w:ind w:firstLine="480" w:firstLineChars="200"/>
              <w:rPr>
                <w:rFonts w:ascii="宋体" w:hAnsi="宋体"/>
                <w:highlight w:val="none"/>
              </w:rPr>
            </w:pPr>
            <w:r>
              <w:rPr>
                <w:rFonts w:hint="eastAsia" w:ascii="宋体" w:hAnsi="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4.1.3</w:t>
            </w:r>
          </w:p>
        </w:tc>
        <w:tc>
          <w:tcPr>
            <w:tcW w:w="1680" w:type="dxa"/>
            <w:vAlign w:val="center"/>
          </w:tcPr>
          <w:p>
            <w:pPr>
              <w:jc w:val="center"/>
              <w:rPr>
                <w:rFonts w:ascii="宋体" w:hAnsi="宋体"/>
                <w:highlight w:val="none"/>
              </w:rPr>
            </w:pPr>
            <w:r>
              <w:rPr>
                <w:rFonts w:hint="eastAsia" w:ascii="宋体" w:hAnsi="宋体"/>
                <w:highlight w:val="none"/>
              </w:rPr>
              <w:t>采购人通知延后投标截止时间的时间</w:t>
            </w:r>
          </w:p>
        </w:tc>
        <w:tc>
          <w:tcPr>
            <w:tcW w:w="6300" w:type="dxa"/>
            <w:vAlign w:val="center"/>
          </w:tcPr>
          <w:p>
            <w:pPr>
              <w:ind w:firstLine="480" w:firstLineChars="200"/>
              <w:rPr>
                <w:rFonts w:ascii="宋体" w:hAnsi="宋体"/>
                <w:highlight w:val="none"/>
              </w:rPr>
            </w:pPr>
            <w:r>
              <w:rPr>
                <w:rFonts w:hint="eastAsia" w:ascii="宋体" w:hAnsi="宋体"/>
                <w:highlight w:val="none"/>
              </w:rPr>
              <w:t>原定投标截止时间</w:t>
            </w:r>
            <w:r>
              <w:rPr>
                <w:rFonts w:ascii="宋体" w:hAnsi="宋体"/>
                <w:highlight w:val="none"/>
                <w:u w:val="single"/>
              </w:rPr>
              <w:t>3</w:t>
            </w:r>
            <w:r>
              <w:rPr>
                <w:rFonts w:hint="eastAsia" w:ascii="宋体" w:hAnsi="宋体"/>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5.1</w:t>
            </w:r>
          </w:p>
        </w:tc>
        <w:tc>
          <w:tcPr>
            <w:tcW w:w="1680" w:type="dxa"/>
            <w:vAlign w:val="center"/>
          </w:tcPr>
          <w:p>
            <w:pPr>
              <w:jc w:val="center"/>
              <w:rPr>
                <w:rFonts w:ascii="宋体" w:hAnsi="宋体"/>
                <w:highlight w:val="none"/>
              </w:rPr>
            </w:pPr>
            <w:r>
              <w:rPr>
                <w:rFonts w:hint="eastAsia" w:ascii="宋体" w:hAnsi="宋体"/>
                <w:highlight w:val="none"/>
              </w:rPr>
              <w:t>比选时间和地点</w:t>
            </w:r>
          </w:p>
        </w:tc>
        <w:tc>
          <w:tcPr>
            <w:tcW w:w="6300" w:type="dxa"/>
            <w:vAlign w:val="center"/>
          </w:tcPr>
          <w:p>
            <w:pPr>
              <w:ind w:firstLine="480" w:firstLineChars="200"/>
              <w:rPr>
                <w:rFonts w:ascii="宋体" w:hAnsi="宋体"/>
                <w:highlight w:val="none"/>
              </w:rPr>
            </w:pPr>
            <w:r>
              <w:rPr>
                <w:rFonts w:hint="eastAsia" w:ascii="宋体" w:hAnsi="宋体"/>
                <w:highlight w:val="none"/>
              </w:rPr>
              <w:t>比选时间：同投标截止时间</w:t>
            </w:r>
          </w:p>
          <w:p>
            <w:pPr>
              <w:ind w:firstLine="480" w:firstLineChars="200"/>
              <w:rPr>
                <w:rFonts w:ascii="宋体" w:hAnsi="宋体"/>
                <w:highlight w:val="none"/>
              </w:rPr>
            </w:pPr>
            <w:r>
              <w:rPr>
                <w:rFonts w:hint="eastAsia" w:ascii="宋体" w:hAnsi="宋体"/>
                <w:highlight w:val="none"/>
              </w:rPr>
              <w:t>比选地点: 同递交比选响应文件地点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5.2</w:t>
            </w:r>
          </w:p>
        </w:tc>
        <w:tc>
          <w:tcPr>
            <w:tcW w:w="1680" w:type="dxa"/>
            <w:vAlign w:val="center"/>
          </w:tcPr>
          <w:p>
            <w:pPr>
              <w:jc w:val="center"/>
              <w:rPr>
                <w:rFonts w:ascii="宋体" w:hAnsi="宋体"/>
                <w:highlight w:val="none"/>
              </w:rPr>
            </w:pPr>
            <w:r>
              <w:rPr>
                <w:rFonts w:hint="eastAsia" w:ascii="宋体" w:hAnsi="宋体"/>
                <w:highlight w:val="none"/>
              </w:rPr>
              <w:t>比选程序</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比选会议由采购人主持，比选应当按下列程序进行：</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1.公布在投标截止时间前递交比选响应文件的比选响应人名称，并确认比选响应人是否派人到场；</w:t>
            </w:r>
          </w:p>
          <w:p>
            <w:pPr>
              <w:tabs>
                <w:tab w:val="left" w:pos="546"/>
                <w:tab w:val="left" w:pos="711"/>
              </w:tabs>
              <w:snapToGrid w:val="0"/>
              <w:ind w:firstLine="480" w:firstLineChars="200"/>
              <w:jc w:val="left"/>
              <w:rPr>
                <w:rFonts w:ascii="宋体" w:hAnsi="宋体"/>
                <w:highlight w:val="none"/>
              </w:rPr>
            </w:pPr>
            <w:r>
              <w:rPr>
                <w:rFonts w:hint="eastAsia" w:ascii="宋体" w:hAnsi="宋体"/>
                <w:highlight w:val="none"/>
              </w:rPr>
              <w:t>2.核验参加比选会议的比选响应人的法定代表人或委托代理人本人身份证（原件），核验被授权代理人的授权委托书（原件）；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3.核查投标保证金的缴纳情况。投标保证金未在规定时间递交的，或未递交的，或未足额提交的，当场退还比选响应文件；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4.密封情况检查：比选响应人或者其推选的代表检查比选响应文件的密封情况并确认；</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5.开启比选响应文件顺序：根据比选响应文件递交顺序</w:t>
            </w:r>
            <w:r>
              <w:rPr>
                <w:rFonts w:hint="eastAsia" w:ascii="宋体" w:hAnsi="宋体"/>
                <w:b/>
                <w:highlight w:val="none"/>
              </w:rPr>
              <w:t>顺次序</w:t>
            </w:r>
            <w:r>
              <w:rPr>
                <w:rFonts w:hint="eastAsia" w:ascii="宋体" w:hAnsi="宋体"/>
                <w:highlight w:val="none"/>
              </w:rPr>
              <w:t>开启；</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6.按照宣布的开标顺序当众比选，开启比选响应文件袋，公布比选响应人名称、项目名称、投标报价及其他内容并记录在案；</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7.比选响应人代表、采购人代表、监标人、记录人等有关人员在比选记录上签字确认；</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8.比选结束。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6.1</w:t>
            </w:r>
          </w:p>
        </w:tc>
        <w:tc>
          <w:tcPr>
            <w:tcW w:w="1680" w:type="dxa"/>
            <w:vAlign w:val="center"/>
          </w:tcPr>
          <w:p>
            <w:pPr>
              <w:jc w:val="center"/>
              <w:rPr>
                <w:rFonts w:ascii="宋体" w:hAnsi="宋体"/>
                <w:highlight w:val="none"/>
              </w:rPr>
            </w:pPr>
            <w:r>
              <w:rPr>
                <w:rFonts w:hint="eastAsia" w:ascii="宋体" w:hAnsi="宋体"/>
                <w:highlight w:val="none"/>
              </w:rPr>
              <w:t>评审委员会的组建</w:t>
            </w:r>
          </w:p>
        </w:tc>
        <w:tc>
          <w:tcPr>
            <w:tcW w:w="6300" w:type="dxa"/>
            <w:vAlign w:val="center"/>
          </w:tcPr>
          <w:p>
            <w:pPr>
              <w:ind w:firstLine="480" w:firstLineChars="200"/>
              <w:rPr>
                <w:rFonts w:ascii="宋体" w:hAnsi="宋体"/>
                <w:highlight w:val="none"/>
              </w:rPr>
            </w:pPr>
            <w:r>
              <w:rPr>
                <w:rFonts w:hint="eastAsia" w:ascii="宋体" w:hAnsi="宋体"/>
                <w:highlight w:val="none"/>
              </w:rPr>
              <w:t>评审委员会构成</w:t>
            </w:r>
            <w:r>
              <w:rPr>
                <w:rFonts w:hint="eastAsia" w:ascii="宋体" w:hAnsi="宋体"/>
                <w:highlight w:val="none"/>
                <w:u w:val="single"/>
              </w:rPr>
              <w:t>:由采购人按照规定组建评审委员会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7.1</w:t>
            </w:r>
          </w:p>
        </w:tc>
        <w:tc>
          <w:tcPr>
            <w:tcW w:w="1680" w:type="dxa"/>
            <w:vAlign w:val="center"/>
          </w:tcPr>
          <w:p>
            <w:pPr>
              <w:jc w:val="center"/>
              <w:rPr>
                <w:rFonts w:ascii="宋体" w:hAnsi="宋体"/>
                <w:highlight w:val="none"/>
              </w:rPr>
            </w:pPr>
            <w:r>
              <w:rPr>
                <w:rFonts w:hint="eastAsia" w:ascii="宋体" w:hAnsi="宋体"/>
                <w:highlight w:val="none"/>
              </w:rPr>
              <w:t>中选</w:t>
            </w:r>
          </w:p>
        </w:tc>
        <w:tc>
          <w:tcPr>
            <w:tcW w:w="6300" w:type="dxa"/>
            <w:vAlign w:val="center"/>
          </w:tcPr>
          <w:p>
            <w:pPr>
              <w:ind w:firstLine="480" w:firstLineChars="200"/>
              <w:rPr>
                <w:rFonts w:ascii="宋体" w:hAnsi="宋体"/>
                <w:highlight w:val="none"/>
              </w:rPr>
            </w:pPr>
            <w:r>
              <w:rPr>
                <w:rFonts w:hint="eastAsia" w:ascii="宋体" w:hAnsi="宋体"/>
                <w:highlight w:val="none"/>
              </w:rPr>
              <w:t>评审委员会根据有效最低价确定成交人，采购人对中选结果不做任何解释。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7.2</w:t>
            </w:r>
          </w:p>
        </w:tc>
        <w:tc>
          <w:tcPr>
            <w:tcW w:w="1680" w:type="dxa"/>
            <w:vAlign w:val="center"/>
          </w:tcPr>
          <w:p>
            <w:pPr>
              <w:jc w:val="center"/>
              <w:rPr>
                <w:rFonts w:ascii="宋体" w:hAnsi="宋体"/>
                <w:highlight w:val="none"/>
              </w:rPr>
            </w:pPr>
            <w:r>
              <w:rPr>
                <w:rFonts w:hint="eastAsia" w:ascii="宋体" w:hAnsi="宋体"/>
                <w:highlight w:val="none"/>
              </w:rPr>
              <w:t>履约保证金</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保证方式：</w:t>
            </w:r>
            <w:r>
              <w:rPr>
                <w:rFonts w:hint="eastAsia"/>
                <w:highlight w:val="none"/>
              </w:rPr>
              <w:t>货币资金形式（不接受保函）</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履约保证金额：</w:t>
            </w:r>
            <w:r>
              <w:rPr>
                <w:rFonts w:hint="eastAsia" w:ascii="仿宋_GB2312" w:hAnsi="宋体"/>
                <w:szCs w:val="28"/>
                <w:highlight w:val="none"/>
              </w:rPr>
              <w:t>合同总价的10%</w:t>
            </w:r>
            <w:r>
              <w:rPr>
                <w:rFonts w:hint="eastAsia"/>
                <w:highlight w:val="none"/>
              </w:rPr>
              <w:t>。</w:t>
            </w:r>
            <w:r>
              <w:rPr>
                <w:rFonts w:hint="eastAsia" w:ascii="宋体" w:hAnsi="宋体"/>
                <w:highlight w:val="none"/>
              </w:rPr>
              <w:t xml:space="preserve"> </w:t>
            </w:r>
          </w:p>
          <w:p>
            <w:pPr>
              <w:ind w:firstLine="480" w:firstLineChars="200"/>
              <w:rPr>
                <w:rFonts w:ascii="仿宋_GB2312" w:hAnsi="宋体"/>
                <w:szCs w:val="28"/>
                <w:highlight w:val="none"/>
              </w:rPr>
            </w:pPr>
            <w:r>
              <w:rPr>
                <w:rFonts w:hint="eastAsia" w:ascii="宋体" w:hAnsi="宋体"/>
                <w:highlight w:val="none"/>
              </w:rPr>
              <w:t>支付时间：中选通知书发出后投标保证金自动转为履约保证金，</w:t>
            </w:r>
            <w:r>
              <w:rPr>
                <w:rFonts w:hint="eastAsia" w:ascii="等线" w:hAnsi="等线"/>
                <w:szCs w:val="28"/>
                <w:highlight w:val="none"/>
              </w:rPr>
              <w:t>其余部分在中选通知书发出后日内，合同签订前补足，</w:t>
            </w:r>
            <w:r>
              <w:rPr>
                <w:rFonts w:hint="eastAsia" w:ascii="宋体" w:hAnsi="宋体"/>
                <w:highlight w:val="none"/>
              </w:rPr>
              <w:t>作为本合同生效的必要条件。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退保约定：验收合格后，无违反采购人规章制度等要求的，至成交人提供有效收据之日起，</w:t>
            </w:r>
            <w:r>
              <w:rPr>
                <w:rFonts w:hint="eastAsia" w:ascii="宋体" w:hAnsi="宋体"/>
                <w:highlight w:val="none"/>
                <w:lang w:eastAsia="zh-CN"/>
              </w:rPr>
              <w:t>1</w:t>
            </w:r>
            <w:r>
              <w:rPr>
                <w:rFonts w:hint="eastAsia" w:ascii="宋体" w:hAnsi="宋体"/>
                <w:highlight w:val="none"/>
                <w:lang w:val="en-US" w:eastAsia="zh-CN"/>
              </w:rPr>
              <w:t>5</w:t>
            </w:r>
            <w:r>
              <w:rPr>
                <w:rFonts w:hint="eastAsia" w:ascii="宋体" w:hAnsi="宋体"/>
                <w:highlight w:val="none"/>
              </w:rPr>
              <w:t>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8.1</w:t>
            </w:r>
          </w:p>
        </w:tc>
        <w:tc>
          <w:tcPr>
            <w:tcW w:w="1680" w:type="dxa"/>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重新采购</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1.按比选响应人须知第8.1执行；</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评审委员会按规定否决或者废止不合格投标后，有效比选响应人不足3个时，评审委员会应当否决所有投标。但是有效比选响应人的经济技术等指标仍然具有市场竞争力，能够满足比选文件要求的，评审委员会认定投标仍具有竞争性，可继续评审，并确定中选候选人。</w:t>
            </w:r>
          </w:p>
          <w:p>
            <w:pPr>
              <w:tabs>
                <w:tab w:val="left" w:pos="546"/>
                <w:tab w:val="left" w:pos="711"/>
              </w:tabs>
              <w:snapToGrid w:val="0"/>
              <w:ind w:firstLine="480" w:firstLineChars="200"/>
              <w:rPr>
                <w:rFonts w:ascii="宋体" w:hAnsi="宋体"/>
                <w:highlight w:val="none"/>
                <w:u w:val="single"/>
              </w:rPr>
            </w:pPr>
            <w:r>
              <w:rPr>
                <w:rFonts w:hint="eastAsia" w:ascii="宋体" w:hAnsi="宋体"/>
                <w:highlight w:val="none"/>
              </w:rPr>
              <w:t>项目重新采购时，经评审有有效比选响应人的，应当按规定程序确定中选候选人。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0" w:type="dxa"/>
            <w:vAlign w:val="center"/>
          </w:tcPr>
          <w:p>
            <w:pPr>
              <w:jc w:val="center"/>
              <w:rPr>
                <w:rFonts w:ascii="宋体" w:hAnsi="宋体"/>
                <w:highlight w:val="none"/>
              </w:rPr>
            </w:pPr>
            <w:r>
              <w:rPr>
                <w:rFonts w:hint="eastAsia" w:ascii="宋体" w:hAnsi="宋体"/>
                <w:highlight w:val="none"/>
              </w:rPr>
              <w:t>9</w:t>
            </w:r>
          </w:p>
        </w:tc>
        <w:tc>
          <w:tcPr>
            <w:tcW w:w="7980" w:type="dxa"/>
            <w:gridSpan w:val="2"/>
            <w:vAlign w:val="center"/>
          </w:tcPr>
          <w:p>
            <w:pPr>
              <w:ind w:firstLine="480" w:firstLineChars="200"/>
              <w:jc w:val="center"/>
              <w:rPr>
                <w:rFonts w:ascii="宋体" w:hAnsi="宋体"/>
                <w:highlight w:val="none"/>
              </w:rPr>
            </w:pPr>
            <w:r>
              <w:rPr>
                <w:rFonts w:hint="eastAsia" w:ascii="宋体" w:hAnsi="宋体"/>
                <w:highlight w:val="none"/>
              </w:rPr>
              <w:t>否决投标条款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highlight w:val="none"/>
              </w:rPr>
            </w:pPr>
            <w:r>
              <w:rPr>
                <w:rFonts w:hint="eastAsia" w:ascii="宋体" w:hAnsi="宋体"/>
                <w:kern w:val="0"/>
                <w:highlight w:val="none"/>
              </w:rPr>
              <w:t>9.1</w:t>
            </w:r>
          </w:p>
        </w:tc>
        <w:tc>
          <w:tcPr>
            <w:tcW w:w="1680" w:type="dxa"/>
            <w:vAlign w:val="center"/>
          </w:tcPr>
          <w:p>
            <w:pPr>
              <w:adjustRightInd w:val="0"/>
              <w:snapToGrid w:val="0"/>
              <w:jc w:val="center"/>
              <w:rPr>
                <w:rFonts w:ascii="宋体" w:hAnsi="宋体"/>
                <w:highlight w:val="none"/>
                <w:u w:val="single"/>
              </w:rPr>
            </w:pPr>
            <w:r>
              <w:rPr>
                <w:rFonts w:hint="eastAsia" w:ascii="宋体" w:hAnsi="宋体"/>
                <w:highlight w:val="none"/>
                <w:u w:val="single"/>
              </w:rPr>
              <w:t>否决投标条款</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1.比选响应人法定代表人或授权代理人未按规定签字、盖章的；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2.按照比选文件规定，比选响应人同时提交两份或者多份内容不同的比选响应文件，或者在同一份比选响应文件中对同一采购内容报有两个或者多个报价，并未声明以哪个报价为准的；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3.比选响应人在资格条件上发生重大变化，导致其不再具备原先规定的资格条件的；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4.以联合体方式投标的；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5.比选响应人所报的投标报价高出最高限价的；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6.比选响应文件附有采购人不能接受的条件的；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7.评审过程中，采购人或评审委员会发现比选响应人以他人名义投标、串通投标、欺诈、威胁、以行贿手段或其他弄虚作假方式谋取中选、采取可能影响评审公正性的不正当手段的；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8.存在比选文件规定的重大偏差的情形的及依法应当否决其它情形。</w:t>
            </w:r>
          </w:p>
          <w:p>
            <w:pPr>
              <w:spacing w:line="420" w:lineRule="exact"/>
              <w:ind w:firstLine="480" w:firstLineChars="200"/>
              <w:rPr>
                <w:rFonts w:ascii="宋体" w:hAnsi="宋体"/>
                <w:highlight w:val="none"/>
              </w:rPr>
            </w:pPr>
            <w:r>
              <w:rPr>
                <w:rFonts w:hint="eastAsia" w:ascii="宋体" w:hAnsi="宋体"/>
                <w:highlight w:val="none"/>
              </w:rPr>
              <w:t>9.未在投标函上填写投标报价的；</w:t>
            </w:r>
          </w:p>
          <w:p>
            <w:pPr>
              <w:tabs>
                <w:tab w:val="left" w:pos="546"/>
                <w:tab w:val="left" w:pos="711"/>
              </w:tabs>
              <w:snapToGrid w:val="0"/>
              <w:ind w:firstLine="482" w:firstLineChars="200"/>
              <w:rPr>
                <w:rFonts w:ascii="宋体" w:hAnsi="宋体"/>
                <w:b/>
                <w:bCs/>
                <w:highlight w:val="none"/>
              </w:rPr>
            </w:pPr>
            <w:r>
              <w:rPr>
                <w:rFonts w:hint="eastAsia" w:ascii="宋体" w:hAnsi="宋体"/>
                <w:b/>
                <w:bCs/>
                <w:highlight w:val="none"/>
              </w:rPr>
              <w:t>10.比选响应人如提供虚假材料，采购人有权取消其投标资格或中选资格，并没收投标保证金。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10.1</w:t>
            </w:r>
          </w:p>
        </w:tc>
        <w:tc>
          <w:tcPr>
            <w:tcW w:w="1680" w:type="dxa"/>
            <w:vAlign w:val="center"/>
          </w:tcPr>
          <w:p>
            <w:pPr>
              <w:tabs>
                <w:tab w:val="left" w:pos="546"/>
                <w:tab w:val="left" w:pos="711"/>
              </w:tabs>
              <w:snapToGrid w:val="0"/>
              <w:rPr>
                <w:rFonts w:ascii="宋体" w:hAnsi="宋体"/>
                <w:highlight w:val="none"/>
              </w:rPr>
            </w:pPr>
            <w:r>
              <w:rPr>
                <w:rFonts w:hint="eastAsia" w:ascii="宋体" w:hAnsi="宋体"/>
                <w:highlight w:val="none"/>
              </w:rPr>
              <w:t>关于版权及知识产权的提示</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1.所有参加本次投标的设计作品归采购人所有。所有设计文件在评审后不退回比选响应人。</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各比选响应人递交方案中的所有内容均应为原创，不得包含任何侵犯第三者知识产权的材料。如发生侵权行为，将取消侵权比选响应人参加本次投标的资格，并将其提交的设计文件视为无效成果。若涉及法律问题，侵权比选响应人应承担全部法律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3.采购人提供所有资料(文字、图纸、电子数据等)均受版权保护。未得授权，任何人不得将内容复制、改编、分发、发布，否则将承担法律责任。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4.保密</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采购结束前任何人员或机构未得到采购人许可，都不得以任何方式披露、公开或展示方案，否则将追究其法律责任。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1</w:t>
            </w:r>
            <w:r>
              <w:rPr>
                <w:rFonts w:ascii="宋体" w:hAnsi="宋体"/>
                <w:kern w:val="0"/>
                <w:highlight w:val="none"/>
              </w:rPr>
              <w:t>0.2</w:t>
            </w:r>
          </w:p>
        </w:tc>
        <w:tc>
          <w:tcPr>
            <w:tcW w:w="1680" w:type="dxa"/>
            <w:vAlign w:val="center"/>
          </w:tcPr>
          <w:p>
            <w:pPr>
              <w:tabs>
                <w:tab w:val="left" w:pos="546"/>
                <w:tab w:val="left" w:pos="711"/>
              </w:tabs>
              <w:snapToGrid w:val="0"/>
              <w:jc w:val="center"/>
              <w:rPr>
                <w:rFonts w:ascii="宋体" w:hAnsi="宋体"/>
                <w:highlight w:val="none"/>
              </w:rPr>
            </w:pPr>
            <w:r>
              <w:rPr>
                <w:rFonts w:hint="eastAsia" w:ascii="宋体" w:hAnsi="宋体"/>
                <w:highlight w:val="none"/>
              </w:rPr>
              <w:t>监督</w:t>
            </w:r>
          </w:p>
        </w:tc>
        <w:tc>
          <w:tcPr>
            <w:tcW w:w="6300" w:type="dxa"/>
            <w:vAlign w:val="center"/>
          </w:tcPr>
          <w:p>
            <w:pPr>
              <w:tabs>
                <w:tab w:val="left" w:pos="546"/>
                <w:tab w:val="left" w:pos="711"/>
              </w:tabs>
              <w:snapToGrid w:val="0"/>
              <w:ind w:firstLine="480" w:firstLineChars="200"/>
              <w:jc w:val="left"/>
              <w:rPr>
                <w:rFonts w:ascii="宋体" w:hAnsi="宋体"/>
                <w:kern w:val="0"/>
                <w:highlight w:val="none"/>
              </w:rPr>
            </w:pPr>
            <w:r>
              <w:rPr>
                <w:rFonts w:hint="eastAsia"/>
                <w:highlight w:val="none"/>
              </w:rPr>
              <w:t>重庆机场集团有限公司航站楼管理部监督小组。</w:t>
            </w:r>
          </w:p>
        </w:tc>
      </w:tr>
    </w:tbl>
    <w:p>
      <w:pPr>
        <w:spacing w:line="320" w:lineRule="exact"/>
        <w:ind w:firstLine="420"/>
        <w:jc w:val="left"/>
        <w:rPr>
          <w:rFonts w:ascii="宋体" w:hAnsi="宋体"/>
          <w:szCs w:val="21"/>
          <w:highlight w:val="none"/>
        </w:rPr>
        <w:sectPr>
          <w:type w:val="continuous"/>
          <w:pgSz w:w="11906" w:h="16838"/>
          <w:pgMar w:top="1440" w:right="1644" w:bottom="1440" w:left="1644" w:header="850" w:footer="794" w:gutter="0"/>
          <w:cols w:space="720" w:num="1"/>
          <w:titlePg/>
          <w:docGrid w:linePitch="318" w:charSpace="0"/>
        </w:sectPr>
      </w:pPr>
    </w:p>
    <w:p>
      <w:pPr>
        <w:pStyle w:val="4"/>
        <w:ind w:firstLine="643"/>
        <w:jc w:val="center"/>
        <w:rPr>
          <w:color w:val="auto"/>
          <w:highlight w:val="none"/>
        </w:rPr>
      </w:pPr>
      <w:bookmarkStart w:id="133" w:name="_Toc6127"/>
      <w:bookmarkStart w:id="134" w:name="_Toc459888234"/>
      <w:bookmarkStart w:id="135" w:name="_Toc4235"/>
      <w:bookmarkStart w:id="136" w:name="_Toc1753"/>
      <w:bookmarkStart w:id="137" w:name="_Toc14741"/>
      <w:bookmarkStart w:id="138" w:name="_Toc325034225"/>
      <w:r>
        <w:rPr>
          <w:rFonts w:hint="eastAsia"/>
          <w:color w:val="auto"/>
          <w:highlight w:val="none"/>
        </w:rPr>
        <w:t>二、比选响应人须知</w:t>
      </w:r>
      <w:bookmarkEnd w:id="133"/>
      <w:bookmarkEnd w:id="134"/>
      <w:bookmarkEnd w:id="135"/>
      <w:bookmarkEnd w:id="136"/>
      <w:bookmarkEnd w:id="137"/>
    </w:p>
    <w:p>
      <w:pPr>
        <w:pStyle w:val="4"/>
        <w:spacing w:line="240" w:lineRule="auto"/>
        <w:ind w:firstLine="472" w:firstLineChars="147"/>
        <w:rPr>
          <w:color w:val="auto"/>
          <w:highlight w:val="none"/>
        </w:rPr>
      </w:pPr>
      <w:bookmarkStart w:id="139" w:name="_Toc2437"/>
      <w:bookmarkStart w:id="140" w:name="_Toc12259"/>
      <w:bookmarkStart w:id="141" w:name="_Toc22648"/>
      <w:bookmarkStart w:id="142" w:name="_Toc31249"/>
      <w:bookmarkStart w:id="143" w:name="_Toc459888235"/>
      <w:r>
        <w:rPr>
          <w:rFonts w:hint="eastAsia" w:asciiTheme="majorEastAsia" w:hAnsiTheme="majorEastAsia" w:eastAsiaTheme="majorEastAsia"/>
          <w:color w:val="auto"/>
          <w:highlight w:val="none"/>
        </w:rPr>
        <w:t xml:space="preserve">1. </w:t>
      </w:r>
      <w:r>
        <w:rPr>
          <w:rFonts w:hint="eastAsia"/>
          <w:color w:val="auto"/>
          <w:highlight w:val="none"/>
        </w:rPr>
        <w:t>总则</w:t>
      </w:r>
      <w:bookmarkEnd w:id="138"/>
      <w:bookmarkEnd w:id="139"/>
      <w:bookmarkEnd w:id="140"/>
      <w:bookmarkEnd w:id="141"/>
      <w:bookmarkEnd w:id="142"/>
      <w:bookmarkEnd w:id="143"/>
    </w:p>
    <w:p>
      <w:pPr>
        <w:tabs>
          <w:tab w:val="left" w:pos="546"/>
          <w:tab w:val="left" w:pos="711"/>
        </w:tabs>
        <w:snapToGrid w:val="0"/>
        <w:ind w:firstLine="480"/>
        <w:rPr>
          <w:rFonts w:asciiTheme="minorEastAsia" w:hAnsiTheme="minorEastAsia"/>
          <w:highlight w:val="none"/>
        </w:rPr>
      </w:pPr>
      <w:r>
        <w:rPr>
          <w:rFonts w:hint="eastAsia" w:asciiTheme="minorEastAsia" w:hAnsiTheme="minorEastAsia"/>
          <w:highlight w:val="none"/>
        </w:rPr>
        <w:t>1.1 项目概况</w:t>
      </w:r>
    </w:p>
    <w:p>
      <w:pPr>
        <w:ind w:firstLine="480"/>
        <w:rPr>
          <w:highlight w:val="none"/>
        </w:rPr>
      </w:pPr>
      <w:r>
        <w:rPr>
          <w:rFonts w:hint="eastAsia" w:asciiTheme="minorEastAsia" w:hAnsiTheme="minorEastAsia"/>
          <w:highlight w:val="none"/>
        </w:rPr>
        <w:t xml:space="preserve">1.1.1 </w:t>
      </w:r>
      <w:r>
        <w:rPr>
          <w:rFonts w:hint="eastAsia"/>
          <w:highlight w:val="none"/>
        </w:rPr>
        <w:t>根据《中华人民共和国招标投标法》等有关法律、法规和规章的规定，本采购项</w:t>
      </w:r>
      <w:r>
        <w:rPr>
          <w:rFonts w:hint="eastAsia" w:asciiTheme="minorEastAsia" w:hAnsiTheme="minorEastAsia"/>
          <w:highlight w:val="none"/>
        </w:rPr>
        <w:t>目己具</w:t>
      </w:r>
      <w:r>
        <w:rPr>
          <w:rFonts w:hint="eastAsia"/>
          <w:highlight w:val="none"/>
        </w:rPr>
        <w:t>备采购条件，现对本项目进行采购。</w:t>
      </w:r>
    </w:p>
    <w:p>
      <w:pPr>
        <w:ind w:firstLine="480"/>
        <w:rPr>
          <w:highlight w:val="none"/>
        </w:rPr>
      </w:pPr>
      <w:r>
        <w:rPr>
          <w:rFonts w:hint="eastAsia" w:asciiTheme="minorEastAsia" w:hAnsiTheme="minorEastAsia"/>
          <w:highlight w:val="none"/>
        </w:rPr>
        <w:t xml:space="preserve">1.1.2 </w:t>
      </w:r>
      <w:r>
        <w:rPr>
          <w:rFonts w:hint="eastAsia"/>
          <w:highlight w:val="none"/>
        </w:rPr>
        <w:t>本采购项目采购人：见比选响应人须知前附表。</w:t>
      </w:r>
    </w:p>
    <w:p>
      <w:pPr>
        <w:ind w:firstLine="480"/>
        <w:rPr>
          <w:highlight w:val="none"/>
        </w:rPr>
      </w:pPr>
      <w:r>
        <w:rPr>
          <w:rFonts w:hint="eastAsia" w:asciiTheme="minorEastAsia" w:hAnsiTheme="minorEastAsia"/>
          <w:highlight w:val="none"/>
        </w:rPr>
        <w:t xml:space="preserve">1.1.3 </w:t>
      </w:r>
      <w:r>
        <w:rPr>
          <w:rFonts w:hint="eastAsia"/>
          <w:highlight w:val="none"/>
        </w:rPr>
        <w:t>本采购项目名称：见比选响应人须知前附表。</w:t>
      </w:r>
    </w:p>
    <w:p>
      <w:pPr>
        <w:ind w:firstLine="480"/>
        <w:rPr>
          <w:highlight w:val="none"/>
        </w:rPr>
      </w:pPr>
      <w:r>
        <w:rPr>
          <w:rFonts w:hint="eastAsia" w:asciiTheme="minorEastAsia" w:hAnsiTheme="minorEastAsia"/>
          <w:highlight w:val="none"/>
        </w:rPr>
        <w:t xml:space="preserve">1.1.4 </w:t>
      </w:r>
      <w:r>
        <w:rPr>
          <w:rFonts w:hint="eastAsia"/>
          <w:highlight w:val="none"/>
        </w:rPr>
        <w:t>本采购项目地点：见比选响应人须知前附表。</w:t>
      </w:r>
    </w:p>
    <w:p>
      <w:pPr>
        <w:ind w:firstLine="482"/>
        <w:rPr>
          <w:bCs/>
          <w:highlight w:val="none"/>
        </w:rPr>
      </w:pPr>
      <w:r>
        <w:rPr>
          <w:rFonts w:hint="eastAsia" w:asciiTheme="minorEastAsia" w:hAnsiTheme="minorEastAsia"/>
          <w:bCs/>
          <w:highlight w:val="none"/>
        </w:rPr>
        <w:t>1.2 资</w:t>
      </w:r>
      <w:r>
        <w:rPr>
          <w:rFonts w:hint="eastAsia"/>
          <w:bCs/>
          <w:highlight w:val="none"/>
        </w:rPr>
        <w:t>金来源和落实情况</w:t>
      </w:r>
    </w:p>
    <w:p>
      <w:pPr>
        <w:ind w:firstLine="480"/>
        <w:rPr>
          <w:highlight w:val="none"/>
        </w:rPr>
      </w:pPr>
      <w:r>
        <w:rPr>
          <w:rFonts w:hint="eastAsia" w:asciiTheme="minorEastAsia" w:hAnsiTheme="minorEastAsia"/>
          <w:highlight w:val="none"/>
        </w:rPr>
        <w:t>1.2.1 本</w:t>
      </w:r>
      <w:r>
        <w:rPr>
          <w:rFonts w:hint="eastAsia"/>
          <w:highlight w:val="none"/>
        </w:rPr>
        <w:t>采购项目的资金来源：见比选响应人须知前附表。</w:t>
      </w:r>
    </w:p>
    <w:p>
      <w:pPr>
        <w:ind w:firstLine="480"/>
        <w:rPr>
          <w:highlight w:val="none"/>
        </w:rPr>
      </w:pPr>
      <w:r>
        <w:rPr>
          <w:rFonts w:hint="eastAsia" w:asciiTheme="minorEastAsia" w:hAnsiTheme="minorEastAsia"/>
          <w:highlight w:val="none"/>
        </w:rPr>
        <w:t>1.2.2 本</w:t>
      </w:r>
      <w:r>
        <w:rPr>
          <w:rFonts w:hint="eastAsia"/>
          <w:highlight w:val="none"/>
        </w:rPr>
        <w:t>采购项目的出资比例：见比选响应人须知前附表。</w:t>
      </w:r>
    </w:p>
    <w:p>
      <w:pPr>
        <w:ind w:firstLine="480"/>
        <w:rPr>
          <w:rFonts w:ascii="宋体" w:hAnsi="宋体"/>
          <w:highlight w:val="none"/>
        </w:rPr>
      </w:pPr>
      <w:r>
        <w:rPr>
          <w:rFonts w:hint="eastAsia" w:asciiTheme="minorEastAsia" w:hAnsiTheme="minorEastAsia"/>
          <w:highlight w:val="none"/>
        </w:rPr>
        <w:t>1.2.3 本</w:t>
      </w:r>
      <w:r>
        <w:rPr>
          <w:rFonts w:hint="eastAsia"/>
          <w:highlight w:val="none"/>
        </w:rPr>
        <w:t>采购项目的资金落实情况：见比选响应人须知前附表。</w:t>
      </w:r>
    </w:p>
    <w:p>
      <w:pPr>
        <w:ind w:firstLine="482"/>
        <w:rPr>
          <w:bCs/>
          <w:highlight w:val="none"/>
        </w:rPr>
      </w:pPr>
      <w:r>
        <w:rPr>
          <w:rFonts w:hint="eastAsia" w:asciiTheme="minorEastAsia" w:hAnsiTheme="minorEastAsia"/>
          <w:bCs/>
          <w:highlight w:val="none"/>
        </w:rPr>
        <w:t>1.3 采</w:t>
      </w:r>
      <w:r>
        <w:rPr>
          <w:rFonts w:hint="eastAsia"/>
          <w:bCs/>
          <w:highlight w:val="none"/>
        </w:rPr>
        <w:t>购范围、服务期限、维护服务内容</w:t>
      </w:r>
    </w:p>
    <w:p>
      <w:pPr>
        <w:ind w:firstLine="480"/>
        <w:rPr>
          <w:highlight w:val="none"/>
        </w:rPr>
      </w:pPr>
      <w:r>
        <w:rPr>
          <w:rFonts w:hint="eastAsia" w:asciiTheme="minorEastAsia" w:hAnsiTheme="minorEastAsia"/>
          <w:highlight w:val="none"/>
        </w:rPr>
        <w:t>1.3.1 本</w:t>
      </w:r>
      <w:r>
        <w:rPr>
          <w:rFonts w:hint="eastAsia"/>
          <w:highlight w:val="none"/>
        </w:rPr>
        <w:t>次采购范围：见比选响应人须知前附表。</w:t>
      </w:r>
    </w:p>
    <w:p>
      <w:pPr>
        <w:ind w:firstLine="480"/>
        <w:rPr>
          <w:highlight w:val="none"/>
        </w:rPr>
      </w:pPr>
      <w:r>
        <w:rPr>
          <w:rFonts w:hint="eastAsia" w:asciiTheme="minorEastAsia" w:hAnsiTheme="minorEastAsia"/>
          <w:highlight w:val="none"/>
        </w:rPr>
        <w:t>1.3.2 本</w:t>
      </w:r>
      <w:r>
        <w:rPr>
          <w:rFonts w:hint="eastAsia"/>
          <w:highlight w:val="none"/>
        </w:rPr>
        <w:t>项目的服务期限：见比选响应人须知前附表。</w:t>
      </w:r>
    </w:p>
    <w:p>
      <w:pPr>
        <w:ind w:firstLine="480"/>
        <w:rPr>
          <w:highlight w:val="none"/>
        </w:rPr>
      </w:pPr>
      <w:r>
        <w:rPr>
          <w:rFonts w:hint="eastAsia" w:asciiTheme="minorEastAsia" w:hAnsiTheme="minorEastAsia"/>
          <w:highlight w:val="none"/>
        </w:rPr>
        <w:t>1.3.3 本</w:t>
      </w:r>
      <w:r>
        <w:rPr>
          <w:rFonts w:hint="eastAsia"/>
          <w:highlight w:val="none"/>
        </w:rPr>
        <w:t>项目的维护服务内容：见比选响应人须知前附表。</w:t>
      </w:r>
    </w:p>
    <w:p>
      <w:pPr>
        <w:ind w:firstLine="482"/>
        <w:rPr>
          <w:bCs/>
          <w:highlight w:val="none"/>
        </w:rPr>
      </w:pPr>
      <w:r>
        <w:rPr>
          <w:rFonts w:hint="eastAsia" w:asciiTheme="minorEastAsia" w:hAnsiTheme="minorEastAsia"/>
          <w:bCs/>
          <w:highlight w:val="none"/>
        </w:rPr>
        <w:t>1.4 比选响应人</w:t>
      </w:r>
      <w:r>
        <w:rPr>
          <w:rFonts w:hint="eastAsia"/>
          <w:bCs/>
          <w:highlight w:val="none"/>
        </w:rPr>
        <w:t>资格要求</w:t>
      </w:r>
    </w:p>
    <w:p>
      <w:pPr>
        <w:ind w:firstLine="480"/>
        <w:rPr>
          <w:highlight w:val="none"/>
        </w:rPr>
      </w:pPr>
      <w:r>
        <w:rPr>
          <w:rFonts w:hint="eastAsia" w:asciiTheme="minorEastAsia" w:hAnsiTheme="minorEastAsia"/>
          <w:highlight w:val="none"/>
        </w:rPr>
        <w:t>1.4.1 比选响应人</w:t>
      </w:r>
      <w:r>
        <w:rPr>
          <w:rFonts w:hint="eastAsia"/>
          <w:highlight w:val="none"/>
        </w:rPr>
        <w:t>应具备的资质条件。</w:t>
      </w:r>
    </w:p>
    <w:p>
      <w:pPr>
        <w:ind w:firstLine="480"/>
        <w:rPr>
          <w:highlight w:val="none"/>
        </w:rPr>
      </w:pPr>
      <w:r>
        <w:rPr>
          <w:rFonts w:hint="eastAsia" w:asciiTheme="minorEastAsia" w:hAnsiTheme="minorEastAsia"/>
          <w:highlight w:val="none"/>
        </w:rPr>
        <w:t>资质条</w:t>
      </w:r>
      <w:r>
        <w:rPr>
          <w:rFonts w:hint="eastAsia"/>
          <w:highlight w:val="none"/>
        </w:rPr>
        <w:t>件：见比选响应人须知前附表。</w:t>
      </w:r>
    </w:p>
    <w:p>
      <w:pPr>
        <w:ind w:firstLine="480"/>
        <w:rPr>
          <w:rFonts w:asciiTheme="minorEastAsia" w:hAnsiTheme="minorEastAsia"/>
          <w:highlight w:val="none"/>
        </w:rPr>
      </w:pPr>
      <w:r>
        <w:rPr>
          <w:rFonts w:hint="eastAsia" w:asciiTheme="minorEastAsia" w:hAnsiTheme="minorEastAsia"/>
          <w:highlight w:val="none"/>
        </w:rPr>
        <w:t>1.4.2 比选响应人不得存在下列情形之一：</w:t>
      </w:r>
    </w:p>
    <w:p>
      <w:pPr>
        <w:ind w:firstLine="480"/>
        <w:rPr>
          <w:rFonts w:asciiTheme="minorEastAsia" w:hAnsiTheme="minorEastAsia"/>
          <w:highlight w:val="none"/>
        </w:rPr>
      </w:pPr>
      <w:r>
        <w:rPr>
          <w:rFonts w:hint="eastAsia" w:asciiTheme="minorEastAsia" w:hAnsiTheme="minorEastAsia"/>
          <w:highlight w:val="none"/>
        </w:rPr>
        <w:t xml:space="preserve">(l）为采购人不具有独立法人资格的附属机构（单位）。 </w:t>
      </w:r>
    </w:p>
    <w:p>
      <w:pPr>
        <w:ind w:firstLine="480"/>
        <w:rPr>
          <w:rFonts w:asciiTheme="minorEastAsia" w:hAnsiTheme="minorEastAsia"/>
          <w:highlight w:val="none"/>
        </w:rPr>
      </w:pPr>
      <w:r>
        <w:rPr>
          <w:rFonts w:hint="eastAsia" w:asciiTheme="minorEastAsia" w:hAnsiTheme="minorEastAsia"/>
          <w:highlight w:val="none"/>
        </w:rPr>
        <w:t>(2）为本项目的监理人。</w:t>
      </w:r>
    </w:p>
    <w:p>
      <w:pPr>
        <w:ind w:firstLine="480"/>
        <w:rPr>
          <w:rFonts w:asciiTheme="minorEastAsia" w:hAnsiTheme="minorEastAsia"/>
          <w:highlight w:val="none"/>
        </w:rPr>
      </w:pPr>
      <w:r>
        <w:rPr>
          <w:rFonts w:hint="eastAsia" w:asciiTheme="minorEastAsia" w:hAnsiTheme="minorEastAsia"/>
          <w:highlight w:val="none"/>
        </w:rPr>
        <w:t>(3）为本项目提供采购代理服务的。</w:t>
      </w:r>
    </w:p>
    <w:p>
      <w:pPr>
        <w:ind w:firstLine="480"/>
        <w:rPr>
          <w:rFonts w:asciiTheme="minorEastAsia" w:hAnsiTheme="minorEastAsia"/>
          <w:highlight w:val="none"/>
        </w:rPr>
      </w:pPr>
      <w:r>
        <w:rPr>
          <w:rFonts w:hint="eastAsia" w:asciiTheme="minorEastAsia" w:hAnsiTheme="minorEastAsia"/>
          <w:highlight w:val="none"/>
        </w:rPr>
        <w:t>(4）与本项目的监理人同为一个法定代表人的。</w:t>
      </w:r>
    </w:p>
    <w:p>
      <w:pPr>
        <w:ind w:firstLine="480"/>
        <w:rPr>
          <w:rFonts w:asciiTheme="minorEastAsia" w:hAnsiTheme="minorEastAsia"/>
          <w:highlight w:val="none"/>
        </w:rPr>
      </w:pPr>
      <w:r>
        <w:rPr>
          <w:rFonts w:hint="eastAsia" w:asciiTheme="minorEastAsia" w:hAnsiTheme="minorEastAsia"/>
          <w:highlight w:val="none"/>
        </w:rPr>
        <w:t>(5）与本项目的监理人相互控股或参股的。</w:t>
      </w:r>
    </w:p>
    <w:p>
      <w:pPr>
        <w:ind w:firstLine="480"/>
        <w:rPr>
          <w:rFonts w:asciiTheme="minorEastAsia" w:hAnsiTheme="minorEastAsia"/>
          <w:highlight w:val="none"/>
        </w:rPr>
      </w:pPr>
      <w:r>
        <w:rPr>
          <w:rFonts w:hint="eastAsia" w:asciiTheme="minorEastAsia" w:hAnsiTheme="minorEastAsia"/>
          <w:highlight w:val="none"/>
        </w:rPr>
        <w:t>(6）与本项目的监理人相互任职或工作的。</w:t>
      </w:r>
    </w:p>
    <w:p>
      <w:pPr>
        <w:ind w:firstLine="480"/>
        <w:rPr>
          <w:rFonts w:asciiTheme="minorEastAsia" w:hAnsiTheme="minorEastAsia"/>
          <w:highlight w:val="none"/>
        </w:rPr>
      </w:pPr>
      <w:r>
        <w:rPr>
          <w:rFonts w:hint="eastAsia" w:asciiTheme="minorEastAsia" w:hAnsiTheme="minorEastAsia"/>
          <w:highlight w:val="none"/>
        </w:rPr>
        <w:t>(7）被责令停业的。</w:t>
      </w:r>
    </w:p>
    <w:p>
      <w:pPr>
        <w:ind w:firstLine="480"/>
        <w:rPr>
          <w:rFonts w:asciiTheme="minorEastAsia" w:hAnsiTheme="minorEastAsia"/>
          <w:highlight w:val="none"/>
        </w:rPr>
      </w:pPr>
      <w:r>
        <w:rPr>
          <w:rFonts w:hint="eastAsia" w:asciiTheme="minorEastAsia" w:hAnsiTheme="minorEastAsia"/>
          <w:highlight w:val="none"/>
        </w:rPr>
        <w:t>(8）被暂停或取消投标资格的。</w:t>
      </w:r>
    </w:p>
    <w:p>
      <w:pPr>
        <w:ind w:firstLine="480"/>
        <w:rPr>
          <w:rFonts w:asciiTheme="minorEastAsia" w:hAnsiTheme="minorEastAsia"/>
          <w:highlight w:val="none"/>
        </w:rPr>
      </w:pPr>
      <w:r>
        <w:rPr>
          <w:rFonts w:hint="eastAsia" w:asciiTheme="minorEastAsia" w:hAnsiTheme="minorEastAsia"/>
          <w:highlight w:val="none"/>
        </w:rPr>
        <w:t>(9）财产被接管或冻结的。</w:t>
      </w:r>
    </w:p>
    <w:p>
      <w:pPr>
        <w:ind w:firstLine="480"/>
        <w:rPr>
          <w:rFonts w:ascii="宋体" w:hAnsi="宋体"/>
          <w:highlight w:val="none"/>
        </w:rPr>
      </w:pPr>
      <w:r>
        <w:rPr>
          <w:rFonts w:hint="eastAsia" w:asciiTheme="minorEastAsia" w:hAnsiTheme="minorEastAsia"/>
          <w:highlight w:val="none"/>
        </w:rPr>
        <w:t>(10）</w:t>
      </w:r>
      <w:r>
        <w:rPr>
          <w:rFonts w:hint="eastAsia"/>
          <w:highlight w:val="none"/>
        </w:rPr>
        <w:t>在最近三年内有骗取中选或严重违约的。</w:t>
      </w:r>
    </w:p>
    <w:p>
      <w:pPr>
        <w:ind w:firstLine="482"/>
        <w:rPr>
          <w:rFonts w:asciiTheme="minorEastAsia" w:hAnsiTheme="minorEastAsia"/>
          <w:bCs/>
          <w:highlight w:val="none"/>
        </w:rPr>
      </w:pPr>
      <w:r>
        <w:rPr>
          <w:rFonts w:hint="eastAsia" w:asciiTheme="minorEastAsia" w:hAnsiTheme="minorEastAsia"/>
          <w:bCs/>
          <w:highlight w:val="none"/>
        </w:rPr>
        <w:t>1.5 费用承担</w:t>
      </w:r>
    </w:p>
    <w:p>
      <w:pPr>
        <w:ind w:firstLine="480"/>
        <w:rPr>
          <w:rFonts w:asciiTheme="minorEastAsia" w:hAnsiTheme="minorEastAsia"/>
          <w:highlight w:val="none"/>
        </w:rPr>
      </w:pPr>
      <w:r>
        <w:rPr>
          <w:rFonts w:hint="eastAsia" w:asciiTheme="minorEastAsia" w:hAnsiTheme="minorEastAsia"/>
          <w:highlight w:val="none"/>
        </w:rPr>
        <w:t>比选响应人准备和参加比选活动发生的一切费用自理。</w:t>
      </w:r>
    </w:p>
    <w:p>
      <w:pPr>
        <w:ind w:firstLine="482"/>
        <w:rPr>
          <w:rFonts w:asciiTheme="minorEastAsia" w:hAnsiTheme="minorEastAsia"/>
          <w:highlight w:val="none"/>
        </w:rPr>
      </w:pPr>
      <w:r>
        <w:rPr>
          <w:rFonts w:hint="eastAsia" w:asciiTheme="minorEastAsia" w:hAnsiTheme="minorEastAsia"/>
          <w:highlight w:val="none"/>
        </w:rPr>
        <w:t>1.6 项目管理</w:t>
      </w:r>
    </w:p>
    <w:p>
      <w:pPr>
        <w:ind w:firstLine="480"/>
        <w:rPr>
          <w:rFonts w:asciiTheme="minorEastAsia" w:hAnsiTheme="minorEastAsia"/>
          <w:highlight w:val="none"/>
        </w:rPr>
      </w:pPr>
      <w:r>
        <w:rPr>
          <w:rFonts w:hint="eastAsia" w:asciiTheme="minorEastAsia" w:hAnsiTheme="minorEastAsia"/>
          <w:highlight w:val="none"/>
        </w:rPr>
        <w:t>1.6.1 由中选方负责项目实施期间的管理和维护，确保项目实施效果。</w:t>
      </w:r>
    </w:p>
    <w:p>
      <w:pPr>
        <w:ind w:firstLine="480"/>
        <w:rPr>
          <w:rFonts w:asciiTheme="minorEastAsia" w:hAnsiTheme="minorEastAsia"/>
          <w:highlight w:val="none"/>
        </w:rPr>
      </w:pPr>
      <w:r>
        <w:rPr>
          <w:rFonts w:hint="eastAsia" w:asciiTheme="minorEastAsia" w:hAnsiTheme="minorEastAsia"/>
          <w:highlight w:val="none"/>
        </w:rPr>
        <w:t xml:space="preserve">1.6.2 比选响应人须承诺项目实施期间持续保持初次设置效果或采购方同意的设置效果。             </w:t>
      </w:r>
    </w:p>
    <w:p>
      <w:pPr>
        <w:ind w:firstLine="482"/>
        <w:rPr>
          <w:rFonts w:asciiTheme="minorEastAsia" w:hAnsiTheme="minorEastAsia"/>
          <w:highlight w:val="none"/>
        </w:rPr>
      </w:pPr>
      <w:r>
        <w:rPr>
          <w:rFonts w:hint="eastAsia" w:asciiTheme="minorEastAsia" w:hAnsiTheme="minorEastAsia"/>
          <w:highlight w:val="none"/>
        </w:rPr>
        <w:t>1.7 保密</w:t>
      </w:r>
    </w:p>
    <w:p>
      <w:pPr>
        <w:ind w:firstLine="480"/>
        <w:rPr>
          <w:rFonts w:asciiTheme="minorEastAsia" w:hAnsiTheme="minorEastAsia"/>
          <w:highlight w:val="none"/>
        </w:rPr>
      </w:pPr>
      <w:r>
        <w:rPr>
          <w:rFonts w:hint="eastAsia" w:asciiTheme="minorEastAsia" w:hAnsiTheme="minorEastAsia"/>
          <w:highlight w:val="none"/>
        </w:rPr>
        <w:t>参与比选采购活动的各方应对比选文件和比选响应文件中的商业等秘密保密，违者应对由此造成的后果承担法律责任。</w:t>
      </w:r>
    </w:p>
    <w:p>
      <w:pPr>
        <w:ind w:firstLine="482"/>
        <w:rPr>
          <w:rFonts w:asciiTheme="minorEastAsia" w:hAnsiTheme="minorEastAsia"/>
          <w:highlight w:val="none"/>
        </w:rPr>
      </w:pPr>
      <w:r>
        <w:rPr>
          <w:rFonts w:hint="eastAsia" w:asciiTheme="minorEastAsia" w:hAnsiTheme="minorEastAsia"/>
          <w:highlight w:val="none"/>
        </w:rPr>
        <w:t>1.8 语言文字</w:t>
      </w:r>
    </w:p>
    <w:p>
      <w:pPr>
        <w:ind w:firstLine="480"/>
        <w:rPr>
          <w:rFonts w:asciiTheme="minorEastAsia" w:hAnsiTheme="minorEastAsia"/>
          <w:highlight w:val="none"/>
        </w:rPr>
      </w:pPr>
      <w:r>
        <w:rPr>
          <w:rFonts w:hint="eastAsia" w:asciiTheme="minorEastAsia" w:hAnsiTheme="minorEastAsia"/>
          <w:highlight w:val="none"/>
        </w:rPr>
        <w:t>除专用术语外，与比选采购有关的语言均使用中文。必要时专用术语应附有中文注释。</w:t>
      </w:r>
    </w:p>
    <w:p>
      <w:pPr>
        <w:ind w:firstLine="482"/>
        <w:rPr>
          <w:rFonts w:asciiTheme="minorEastAsia" w:hAnsiTheme="minorEastAsia"/>
          <w:highlight w:val="none"/>
        </w:rPr>
      </w:pPr>
      <w:r>
        <w:rPr>
          <w:rFonts w:hint="eastAsia" w:asciiTheme="minorEastAsia" w:hAnsiTheme="minorEastAsia"/>
          <w:highlight w:val="none"/>
        </w:rPr>
        <w:t>1.9 计量单位</w:t>
      </w:r>
    </w:p>
    <w:p>
      <w:pPr>
        <w:ind w:firstLine="480"/>
        <w:rPr>
          <w:highlight w:val="none"/>
        </w:rPr>
      </w:pPr>
      <w:r>
        <w:rPr>
          <w:rFonts w:hint="eastAsia"/>
          <w:highlight w:val="none"/>
        </w:rPr>
        <w:t>所有计量均采用中华人民共和国法定计量单位。</w:t>
      </w:r>
    </w:p>
    <w:p>
      <w:pPr>
        <w:ind w:firstLine="482"/>
        <w:rPr>
          <w:rFonts w:asciiTheme="minorEastAsia" w:hAnsiTheme="minorEastAsia"/>
          <w:highlight w:val="none"/>
        </w:rPr>
      </w:pPr>
      <w:r>
        <w:rPr>
          <w:rFonts w:hint="eastAsia" w:asciiTheme="minorEastAsia" w:hAnsiTheme="minorEastAsia"/>
          <w:highlight w:val="none"/>
        </w:rPr>
        <w:t>1.10 比选预备会</w:t>
      </w:r>
    </w:p>
    <w:p>
      <w:pPr>
        <w:ind w:firstLine="480"/>
        <w:rPr>
          <w:rFonts w:asciiTheme="minorEastAsia" w:hAnsiTheme="minorEastAsia"/>
          <w:highlight w:val="none"/>
        </w:rPr>
      </w:pPr>
      <w:r>
        <w:rPr>
          <w:rFonts w:hint="eastAsia" w:asciiTheme="minorEastAsia" w:hAnsiTheme="minorEastAsia"/>
          <w:highlight w:val="none"/>
        </w:rPr>
        <w:t>采购人不召开比选预备会。</w:t>
      </w:r>
    </w:p>
    <w:p>
      <w:pPr>
        <w:pStyle w:val="4"/>
        <w:spacing w:line="240" w:lineRule="auto"/>
        <w:ind w:firstLine="472" w:firstLineChars="147"/>
        <w:rPr>
          <w:color w:val="auto"/>
          <w:highlight w:val="none"/>
        </w:rPr>
      </w:pPr>
      <w:bookmarkStart w:id="144" w:name="_Toc1966"/>
      <w:bookmarkStart w:id="145" w:name="_Toc459888236"/>
      <w:bookmarkStart w:id="146" w:name="_Toc325034226"/>
      <w:bookmarkStart w:id="147" w:name="_Toc11507"/>
      <w:bookmarkStart w:id="148" w:name="_Toc17766"/>
      <w:bookmarkStart w:id="149" w:name="_Toc11114"/>
      <w:r>
        <w:rPr>
          <w:rFonts w:hint="eastAsia" w:asciiTheme="minorEastAsia" w:hAnsiTheme="minorEastAsia" w:eastAsiaTheme="minorEastAsia"/>
          <w:color w:val="auto"/>
          <w:highlight w:val="none"/>
        </w:rPr>
        <w:t>2．</w:t>
      </w:r>
      <w:r>
        <w:rPr>
          <w:rFonts w:hint="eastAsia"/>
          <w:color w:val="auto"/>
          <w:highlight w:val="none"/>
        </w:rPr>
        <w:t>比选文件</w:t>
      </w:r>
      <w:bookmarkEnd w:id="144"/>
      <w:bookmarkEnd w:id="145"/>
      <w:bookmarkEnd w:id="146"/>
      <w:bookmarkEnd w:id="147"/>
      <w:bookmarkEnd w:id="148"/>
      <w:bookmarkEnd w:id="149"/>
    </w:p>
    <w:p>
      <w:pPr>
        <w:ind w:firstLine="482"/>
        <w:rPr>
          <w:rFonts w:asciiTheme="minorEastAsia" w:hAnsiTheme="minorEastAsia"/>
          <w:highlight w:val="none"/>
        </w:rPr>
      </w:pPr>
      <w:r>
        <w:rPr>
          <w:rFonts w:hint="eastAsia" w:asciiTheme="minorEastAsia" w:hAnsiTheme="minorEastAsia"/>
          <w:highlight w:val="none"/>
        </w:rPr>
        <w:t>2.1 比选文件的组成</w:t>
      </w:r>
    </w:p>
    <w:p>
      <w:pPr>
        <w:ind w:firstLine="480"/>
        <w:rPr>
          <w:rFonts w:asciiTheme="minorEastAsia" w:hAnsiTheme="minorEastAsia"/>
          <w:highlight w:val="none"/>
        </w:rPr>
      </w:pPr>
      <w:r>
        <w:rPr>
          <w:rFonts w:hint="eastAsia" w:asciiTheme="minorEastAsia" w:hAnsiTheme="minorEastAsia"/>
          <w:highlight w:val="none"/>
        </w:rPr>
        <w:t>本比选文件包括：</w:t>
      </w:r>
    </w:p>
    <w:p>
      <w:pPr>
        <w:ind w:firstLine="480"/>
        <w:rPr>
          <w:rFonts w:asciiTheme="minorEastAsia" w:hAnsiTheme="minorEastAsia"/>
          <w:highlight w:val="none"/>
        </w:rPr>
      </w:pPr>
      <w:r>
        <w:rPr>
          <w:rFonts w:hint="eastAsia" w:asciiTheme="minorEastAsia" w:hAnsiTheme="minorEastAsia"/>
          <w:highlight w:val="none"/>
        </w:rPr>
        <w:t xml:space="preserve">(1）比选采购公告。 </w:t>
      </w:r>
    </w:p>
    <w:p>
      <w:pPr>
        <w:ind w:firstLine="480"/>
        <w:rPr>
          <w:rFonts w:asciiTheme="minorEastAsia" w:hAnsiTheme="minorEastAsia"/>
          <w:highlight w:val="none"/>
        </w:rPr>
      </w:pPr>
      <w:r>
        <w:rPr>
          <w:rFonts w:hint="eastAsia" w:asciiTheme="minorEastAsia" w:hAnsiTheme="minorEastAsia"/>
          <w:highlight w:val="none"/>
        </w:rPr>
        <w:t>(2）T2、T3A航站楼零星植物及花器采购项目采购需求表。</w:t>
      </w:r>
    </w:p>
    <w:p>
      <w:pPr>
        <w:ind w:firstLine="480"/>
        <w:rPr>
          <w:rFonts w:asciiTheme="minorEastAsia" w:hAnsiTheme="minorEastAsia"/>
          <w:highlight w:val="none"/>
        </w:rPr>
      </w:pPr>
      <w:r>
        <w:rPr>
          <w:rFonts w:hint="eastAsia" w:asciiTheme="minorEastAsia" w:hAnsiTheme="minorEastAsia"/>
          <w:highlight w:val="none"/>
        </w:rPr>
        <w:t>(3）比选响应人须知。</w:t>
      </w:r>
    </w:p>
    <w:p>
      <w:pPr>
        <w:ind w:firstLine="480"/>
        <w:rPr>
          <w:rFonts w:asciiTheme="minorEastAsia" w:hAnsiTheme="minorEastAsia"/>
          <w:highlight w:val="none"/>
        </w:rPr>
      </w:pPr>
      <w:r>
        <w:rPr>
          <w:rFonts w:hint="eastAsia" w:asciiTheme="minorEastAsia" w:hAnsiTheme="minorEastAsia"/>
          <w:highlight w:val="none"/>
        </w:rPr>
        <w:t>(4）合同</w:t>
      </w:r>
      <w:r>
        <w:rPr>
          <w:rFonts w:hint="eastAsia" w:asciiTheme="minorEastAsia" w:hAnsiTheme="minorEastAsia"/>
          <w:highlight w:val="none"/>
          <w:lang w:eastAsia="zh-CN"/>
        </w:rPr>
        <w:t>条款及</w:t>
      </w:r>
      <w:r>
        <w:rPr>
          <w:rFonts w:hint="eastAsia" w:asciiTheme="minorEastAsia" w:hAnsiTheme="minorEastAsia"/>
          <w:highlight w:val="none"/>
        </w:rPr>
        <w:t>格式。</w:t>
      </w:r>
    </w:p>
    <w:p>
      <w:pPr>
        <w:ind w:firstLine="480"/>
        <w:rPr>
          <w:rFonts w:asciiTheme="minorEastAsia" w:hAnsiTheme="minorEastAsia"/>
          <w:highlight w:val="none"/>
        </w:rPr>
      </w:pPr>
      <w:r>
        <w:rPr>
          <w:rFonts w:hint="eastAsia" w:asciiTheme="minorEastAsia" w:hAnsiTheme="minorEastAsia"/>
          <w:highlight w:val="none"/>
        </w:rPr>
        <w:t>(5）比选响应文件格式，比选响应人须知前附表规定的其他材料。</w:t>
      </w:r>
    </w:p>
    <w:p>
      <w:pPr>
        <w:ind w:firstLine="480"/>
        <w:rPr>
          <w:highlight w:val="none"/>
        </w:rPr>
      </w:pPr>
      <w:r>
        <w:rPr>
          <w:rFonts w:hint="eastAsia" w:asciiTheme="minorEastAsia" w:hAnsiTheme="minorEastAsia"/>
          <w:highlight w:val="none"/>
        </w:rPr>
        <w:t>根据本章第2.1 项</w:t>
      </w:r>
      <w:r>
        <w:rPr>
          <w:rFonts w:hint="eastAsia"/>
          <w:highlight w:val="none"/>
        </w:rPr>
        <w:t>对比选文件所作的澄清、修改，构成比选文件的组成部分。</w:t>
      </w:r>
    </w:p>
    <w:p>
      <w:pPr>
        <w:pStyle w:val="4"/>
        <w:spacing w:line="240" w:lineRule="auto"/>
        <w:ind w:firstLine="472" w:firstLineChars="147"/>
        <w:rPr>
          <w:rFonts w:eastAsiaTheme="minorEastAsia"/>
          <w:color w:val="auto"/>
          <w:highlight w:val="none"/>
        </w:rPr>
      </w:pPr>
      <w:bookmarkStart w:id="150" w:name="_Toc325034227"/>
      <w:bookmarkStart w:id="151" w:name="_Toc28645"/>
      <w:bookmarkStart w:id="152" w:name="_Toc459888237"/>
      <w:bookmarkStart w:id="153" w:name="_Toc17085"/>
      <w:bookmarkStart w:id="154" w:name="_Toc30447"/>
      <w:bookmarkStart w:id="155" w:name="_Toc19404"/>
      <w:r>
        <w:rPr>
          <w:rFonts w:hint="eastAsia" w:asciiTheme="minorEastAsia" w:hAnsiTheme="minorEastAsia" w:eastAsiaTheme="minorEastAsia"/>
          <w:color w:val="auto"/>
          <w:highlight w:val="none"/>
        </w:rPr>
        <w:t>3．</w:t>
      </w:r>
      <w:bookmarkEnd w:id="150"/>
      <w:bookmarkEnd w:id="151"/>
      <w:bookmarkEnd w:id="152"/>
      <w:bookmarkEnd w:id="153"/>
      <w:r>
        <w:rPr>
          <w:rFonts w:hint="eastAsia" w:eastAsiaTheme="minorEastAsia"/>
          <w:color w:val="auto"/>
          <w:highlight w:val="none"/>
        </w:rPr>
        <w:t>比选响应文件</w:t>
      </w:r>
      <w:bookmarkEnd w:id="154"/>
      <w:bookmarkEnd w:id="155"/>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3.1 比选响应文件的组成</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比选响应文件应包括下列内容：</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3.1.1 投标函部分</w:t>
      </w:r>
    </w:p>
    <w:p>
      <w:pPr>
        <w:ind w:firstLine="480"/>
        <w:rPr>
          <w:rFonts w:hint="eastAsia" w:asciiTheme="minorEastAsia" w:hAnsiTheme="minorEastAsia"/>
          <w:highlight w:val="none"/>
        </w:rPr>
      </w:pPr>
      <w:r>
        <w:rPr>
          <w:rFonts w:hint="eastAsia" w:asciiTheme="minorEastAsia" w:hAnsiTheme="minorEastAsia"/>
          <w:highlight w:val="none"/>
        </w:rPr>
        <w:t>（1）投标函。</w:t>
      </w:r>
    </w:p>
    <w:p>
      <w:pPr>
        <w:ind w:firstLine="480"/>
        <w:rPr>
          <w:rFonts w:hint="eastAsia" w:asciiTheme="minorEastAsia" w:hAnsiTheme="minorEastAsia"/>
          <w:highlight w:val="none"/>
        </w:rPr>
      </w:pPr>
      <w:r>
        <w:rPr>
          <w:rFonts w:hint="eastAsia" w:asciiTheme="minorEastAsia" w:hAnsiTheme="minorEastAsia"/>
          <w:highlight w:val="none"/>
        </w:rPr>
        <w:t>（2）分项报价表。</w:t>
      </w:r>
    </w:p>
    <w:p>
      <w:pPr>
        <w:ind w:firstLine="480"/>
        <w:rPr>
          <w:rFonts w:hint="eastAsia" w:asciiTheme="minorEastAsia" w:hAnsiTheme="minorEastAsia"/>
          <w:highlight w:val="none"/>
        </w:rPr>
      </w:pPr>
      <w:r>
        <w:rPr>
          <w:rFonts w:hint="eastAsia" w:asciiTheme="minorEastAsia" w:hAnsiTheme="minorEastAsia"/>
          <w:highlight w:val="none"/>
        </w:rPr>
        <w:t>（3）法定代表人身份证明。</w:t>
      </w:r>
    </w:p>
    <w:p>
      <w:pPr>
        <w:ind w:firstLine="480"/>
        <w:rPr>
          <w:rFonts w:hint="eastAsia" w:asciiTheme="minorEastAsia" w:hAnsiTheme="minorEastAsia"/>
          <w:highlight w:val="none"/>
        </w:rPr>
      </w:pPr>
      <w:r>
        <w:rPr>
          <w:rFonts w:hint="eastAsia" w:asciiTheme="minorEastAsia" w:hAnsiTheme="minorEastAsia"/>
          <w:highlight w:val="none"/>
        </w:rPr>
        <w:t>（4）授权委托书。</w:t>
      </w:r>
    </w:p>
    <w:p>
      <w:pPr>
        <w:ind w:firstLine="480"/>
        <w:rPr>
          <w:rFonts w:hint="eastAsia" w:asciiTheme="minorEastAsia" w:hAnsiTheme="minorEastAsia"/>
          <w:highlight w:val="none"/>
        </w:rPr>
      </w:pPr>
      <w:r>
        <w:rPr>
          <w:rFonts w:hint="eastAsia" w:asciiTheme="minorEastAsia" w:hAnsiTheme="minorEastAsia"/>
          <w:highlight w:val="none"/>
        </w:rPr>
        <w:t>（5）投标保证金。</w:t>
      </w:r>
    </w:p>
    <w:p>
      <w:pPr>
        <w:ind w:firstLine="480"/>
        <w:rPr>
          <w:rFonts w:hint="eastAsia" w:asciiTheme="minorEastAsia" w:hAnsiTheme="minorEastAsia"/>
          <w:highlight w:val="none"/>
        </w:rPr>
      </w:pPr>
      <w:r>
        <w:rPr>
          <w:rFonts w:hint="eastAsia" w:asciiTheme="minorEastAsia" w:hAnsiTheme="minorEastAsia"/>
          <w:highlight w:val="none"/>
        </w:rPr>
        <w:t>3.1.2</w:t>
      </w:r>
      <w:r>
        <w:rPr>
          <w:rFonts w:hint="eastAsia" w:asciiTheme="minorEastAsia" w:hAnsiTheme="minorEastAsia"/>
          <w:highlight w:val="none"/>
          <w:lang w:val="en-US" w:eastAsia="zh-CN"/>
        </w:rPr>
        <w:t xml:space="preserve"> </w:t>
      </w:r>
      <w:r>
        <w:rPr>
          <w:rFonts w:hint="eastAsia" w:asciiTheme="minorEastAsia" w:hAnsiTheme="minorEastAsia"/>
          <w:highlight w:val="none"/>
        </w:rPr>
        <w:t>资格审查资料</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按比选文件的资格审查条件制作。</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3.2 投标报价</w:t>
      </w:r>
    </w:p>
    <w:p>
      <w:pPr>
        <w:ind w:firstLine="48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3.2.</w:t>
      </w:r>
      <w:r>
        <w:rPr>
          <w:rFonts w:asciiTheme="majorEastAsia" w:hAnsiTheme="majorEastAsia" w:eastAsiaTheme="majorEastAsia"/>
          <w:highlight w:val="none"/>
        </w:rPr>
        <w:t>1</w:t>
      </w:r>
      <w:r>
        <w:rPr>
          <w:rFonts w:hint="eastAsia" w:asciiTheme="majorEastAsia" w:hAnsiTheme="majorEastAsia" w:eastAsiaTheme="majorEastAsia"/>
          <w:highlight w:val="none"/>
        </w:rPr>
        <w:t xml:space="preserve"> 投标报价范围：比选响应人的投标报价即为项目总价</w:t>
      </w:r>
      <w:r>
        <w:rPr>
          <w:rFonts w:hint="eastAsia" w:asciiTheme="majorEastAsia" w:hAnsiTheme="majorEastAsia" w:eastAsiaTheme="majorEastAsia"/>
          <w:highlight w:val="none"/>
          <w:lang w:eastAsia="zh-CN"/>
        </w:rPr>
        <w:t>，应包含拟</w:t>
      </w:r>
      <w:r>
        <w:rPr>
          <w:rFonts w:hint="eastAsia"/>
          <w:highlight w:val="none"/>
        </w:rPr>
        <w:t>提供产品的样品、供货、运输、设置、养护、除渣及质量保证、证件办理等</w:t>
      </w:r>
      <w:r>
        <w:rPr>
          <w:rFonts w:hint="eastAsia"/>
          <w:highlight w:val="none"/>
          <w:lang w:eastAsia="zh-CN"/>
        </w:rPr>
        <w:t>所有</w:t>
      </w:r>
      <w:r>
        <w:rPr>
          <w:rFonts w:hint="eastAsia"/>
          <w:highlight w:val="none"/>
        </w:rPr>
        <w:t>费用</w:t>
      </w:r>
      <w:r>
        <w:rPr>
          <w:rFonts w:hint="eastAsia" w:asciiTheme="majorEastAsia" w:hAnsiTheme="majorEastAsia" w:eastAsiaTheme="majorEastAsia"/>
          <w:highlight w:val="none"/>
        </w:rPr>
        <w:t>。报价为不含税报价，增值税税率单列。</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3.2.2 严禁低于项目实施成本价竞标、严禁比选响应人相互串通，哄抬报价，否则采购人有权宣布竞标无效，其后果和损失由比选响应人自负。</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3.2.3 本项目的投标货币为人民币。</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3.3 投标有效期</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3.3.1 在比选响应人须知前附表规定的投标有效期内，比选响应人不得要求撤销或修改其比选响应文件。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3.3.2 出现特殊情况需要延长投标有效期的，采购人以书面形式通知所有比选响应人延长投标有效期。比选响应人同意延长的，应相应延长其投标保证金的有效期，但不得要求或被允许修改或撤销其比选响应文件；比选响应人拒绝延长的，其投标失效，但比选响应人有权收回其投标保证金。</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3.4 投标保证金</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3.4.1 比选响应人应按比选响应人须知前附表规定的投标截止时间前递交投标保证金，并作为其比选响应文件的组成部分。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3.4.2 比选响应人不按本章第3.4.1项要求提交投标保证金的，其比选响应文件作废处理。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3.4.3 采购人确定成交人后，向成交人发出中选通知书，同时书面通知其他比选响应人。未中选比选响应人应持投标保证金收据、授权委托书至采购人地址申请退还投标保证金，比选响应人所缴投标保证金在投标结束后全额退还，不计利息。</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3.4.4 有下列情形之一的，投标保证金将不予退还：</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(1）比选响应人在规定的投标有效期内撤销或修改其比选响应文件。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(2）成交人在收到中选通知书后，无正当理由拒签合同协议书。</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 比选响应人提交了虚假资料。</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3.5 资格审查资料</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见比选响应人须知前附表。</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3.6 备选投标方案</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比选响应人不得递交备选投标方案。</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3.7 比选响应文件的编制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3.7.1 比选响应文件应按第六章“比选响应文件格式”进行编写，如有必要，可以增加附页，作为比选响应文件的组成部分。其中，投标函附录在满足比选文件实质性要求的基础上，可以提出比比选文件要求更有利于采购人的承诺。</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3.7.2 比选响应文件应当对比选文件有关要求、采购范围等实质性内容作出响应。</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3.7.3 比选响应文件的份数和签署</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（1）见比选响应人须知前附表。当正本和副本不一致时，以正本为准。</w:t>
      </w:r>
    </w:p>
    <w:p>
      <w:pPr>
        <w:ind w:firstLine="480"/>
        <w:rPr>
          <w:rFonts w:ascii="宋体" w:hAnsi="宋体"/>
          <w:highlight w:val="none"/>
        </w:rPr>
      </w:pPr>
      <w:r>
        <w:rPr>
          <w:rFonts w:hint="eastAsia" w:asciiTheme="majorEastAsia" w:hAnsiTheme="majorEastAsia" w:eastAsiaTheme="majorEastAsia"/>
          <w:highlight w:val="none"/>
        </w:rPr>
        <w:t>（2）比选响应文件必须由其法定代表</w:t>
      </w:r>
      <w:r>
        <w:rPr>
          <w:rFonts w:hint="eastAsia"/>
          <w:highlight w:val="none"/>
        </w:rPr>
        <w:t>人或授权代表人签署。</w:t>
      </w:r>
    </w:p>
    <w:p>
      <w:pPr>
        <w:pStyle w:val="4"/>
        <w:spacing w:line="240" w:lineRule="auto"/>
        <w:ind w:firstLine="472" w:firstLineChars="147"/>
        <w:rPr>
          <w:rFonts w:eastAsiaTheme="majorEastAsia"/>
          <w:color w:val="auto"/>
          <w:highlight w:val="none"/>
        </w:rPr>
      </w:pPr>
      <w:bookmarkStart w:id="156" w:name="_Toc459888238"/>
      <w:bookmarkStart w:id="157" w:name="_Toc325034228"/>
      <w:bookmarkStart w:id="158" w:name="_Toc24204"/>
      <w:bookmarkStart w:id="159" w:name="_Toc6271"/>
      <w:bookmarkStart w:id="160" w:name="_Toc26022"/>
      <w:bookmarkStart w:id="161" w:name="_Toc26341"/>
      <w:r>
        <w:rPr>
          <w:rFonts w:hint="eastAsia" w:asciiTheme="majorEastAsia" w:hAnsiTheme="majorEastAsia" w:eastAsiaTheme="majorEastAsia"/>
          <w:color w:val="auto"/>
          <w:highlight w:val="none"/>
        </w:rPr>
        <w:t>4．</w:t>
      </w:r>
      <w:bookmarkEnd w:id="156"/>
      <w:bookmarkEnd w:id="157"/>
      <w:r>
        <w:rPr>
          <w:rFonts w:hint="eastAsia" w:asciiTheme="majorEastAsia" w:hAnsiTheme="majorEastAsia" w:eastAsiaTheme="majorEastAsia"/>
          <w:color w:val="auto"/>
          <w:highlight w:val="none"/>
        </w:rPr>
        <w:t>投标</w:t>
      </w:r>
      <w:bookmarkEnd w:id="158"/>
      <w:bookmarkEnd w:id="159"/>
      <w:bookmarkEnd w:id="160"/>
      <w:bookmarkEnd w:id="161"/>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4.1 比选响应文件的密封和标记</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4.1.1 比选响应文件的正本与副本密封见比选响应人须知前附表。</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4.1.2 比选响应文件的封套上应写明的内容见比选响应人须知前附表。</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4.2 比选响应文件的递交</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4.2.1 比选响应人应在比选响应人须知前附表第2.2.2 项规定的投标截止时间前递交比选响应文件。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4.2.2 比选响应人递交比选响应文件的地点：见比选响应人须知前附表。</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4.2.3 除比选响应人须知前附表另有规定外，比选响应人所递交的比选响应文件不予退还。</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4.2.4 逾期送达的或者未送达指定地点的比选响应文件，采购人不予受理。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4.2.5 在特殊情况下，采购人如果决定延后递交比选响应文件截止时间，将在比选响应人须知前附表规定的时间前，以书面形式通知所有比选响应人延后投标截止时间。在此情况下，采购人和比选响应人的权利和义务相应延后至新的投标截止时间。</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4.3 比选响应文件的修改与撤回</w:t>
      </w:r>
    </w:p>
    <w:p>
      <w:pPr>
        <w:ind w:firstLine="480"/>
        <w:rPr>
          <w:highlight w:val="none"/>
        </w:rPr>
      </w:pPr>
      <w:r>
        <w:rPr>
          <w:rFonts w:hint="eastAsia" w:asciiTheme="majorEastAsia" w:hAnsiTheme="majorEastAsia" w:eastAsiaTheme="majorEastAsia"/>
          <w:highlight w:val="none"/>
        </w:rPr>
        <w:t>4.3.1 在比选响应人须知前附表第2.2.2 项规定的投标截止时间前，比选响应人可以修改或撤回已递交的比选响应文件，但应以书面形式通知采购人</w:t>
      </w:r>
      <w:r>
        <w:rPr>
          <w:rFonts w:hint="eastAsia"/>
          <w:highlight w:val="none"/>
        </w:rPr>
        <w:t>。</w:t>
      </w:r>
    </w:p>
    <w:p>
      <w:pPr>
        <w:ind w:firstLine="480"/>
        <w:rPr>
          <w:rFonts w:asciiTheme="minorEastAsia" w:hAnsiTheme="minorEastAsia"/>
          <w:highlight w:val="none"/>
        </w:rPr>
      </w:pPr>
      <w:r>
        <w:rPr>
          <w:rFonts w:hint="eastAsia" w:asciiTheme="minorEastAsia" w:hAnsiTheme="minorEastAsia"/>
          <w:highlight w:val="none"/>
        </w:rPr>
        <w:t>4.3.2 比选响应人修改或撤回已递交比选响应文件的书面通知应按照</w:t>
      </w:r>
      <w:r>
        <w:rPr>
          <w:rFonts w:hint="eastAsia" w:asciiTheme="majorEastAsia" w:hAnsiTheme="majorEastAsia" w:eastAsiaTheme="majorEastAsia"/>
          <w:highlight w:val="none"/>
        </w:rPr>
        <w:t>比选响应人须知前附表</w:t>
      </w:r>
      <w:r>
        <w:rPr>
          <w:rFonts w:hint="eastAsia" w:asciiTheme="minorEastAsia" w:hAnsiTheme="minorEastAsia"/>
          <w:highlight w:val="none"/>
        </w:rPr>
        <w:t>3.7.1 项的要求签字或盖章。采购人收到书面通知后，向比选响应人出具签收凭证。</w:t>
      </w:r>
    </w:p>
    <w:p>
      <w:pPr>
        <w:ind w:firstLine="480"/>
        <w:rPr>
          <w:rFonts w:asciiTheme="minorEastAsia" w:hAnsiTheme="minorEastAsia"/>
          <w:highlight w:val="none"/>
        </w:rPr>
      </w:pPr>
      <w:r>
        <w:rPr>
          <w:rFonts w:hint="eastAsia" w:asciiTheme="minorEastAsia" w:hAnsiTheme="minorEastAsia"/>
          <w:highlight w:val="none"/>
        </w:rPr>
        <w:t>4.3.3 修改的内容为比选响应文件的组成部分。修改的比选响应文件应按照本章第3 条、第4 条规定进行编制、标记和递交，并标明“修改”字样。</w:t>
      </w:r>
    </w:p>
    <w:p>
      <w:pPr>
        <w:pStyle w:val="4"/>
        <w:spacing w:line="240" w:lineRule="auto"/>
        <w:ind w:firstLine="472" w:firstLineChars="147"/>
        <w:rPr>
          <w:color w:val="auto"/>
          <w:highlight w:val="none"/>
        </w:rPr>
      </w:pPr>
      <w:bookmarkStart w:id="162" w:name="_Toc13712"/>
      <w:bookmarkStart w:id="163" w:name="_Toc2732"/>
      <w:bookmarkStart w:id="164" w:name="_Toc459888239"/>
      <w:bookmarkStart w:id="165" w:name="_Toc10975"/>
      <w:bookmarkStart w:id="166" w:name="_Toc325034229"/>
      <w:bookmarkStart w:id="167" w:name="_Toc31257"/>
      <w:r>
        <w:rPr>
          <w:rFonts w:hint="eastAsia" w:asciiTheme="majorEastAsia" w:hAnsiTheme="majorEastAsia" w:eastAsiaTheme="majorEastAsia"/>
          <w:color w:val="auto"/>
          <w:highlight w:val="none"/>
        </w:rPr>
        <w:t>5．</w:t>
      </w:r>
      <w:r>
        <w:rPr>
          <w:rFonts w:hint="eastAsia"/>
          <w:color w:val="auto"/>
          <w:highlight w:val="none"/>
        </w:rPr>
        <w:t>比选</w:t>
      </w:r>
      <w:bookmarkEnd w:id="162"/>
      <w:bookmarkEnd w:id="163"/>
      <w:bookmarkEnd w:id="164"/>
      <w:bookmarkEnd w:id="165"/>
      <w:bookmarkEnd w:id="166"/>
      <w:bookmarkEnd w:id="167"/>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5.1 比选时间和地点</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采购人在比选响应人须知前附表第2.2.2 项规定的投标截止时间（比选时间）和比选响应人须知前附表规定的地点公开比选，并邀请所有比选响应人的法定代表人或其委托代理人准时参加。参加比选会议的比选响应人的法定代表人或其授权的代理人应当随身携带本人身份证（原件），授权的代理人还应当随身携带法定代表人授权委托书（原件），以备核验其合法身份。</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比选响应人若未派法定代表人或委托代理人出席比选活动，视为该比选响应人默认比选结果。</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5.2 比选程序</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5.2.1 比选程序：见比选响应人须知前附表。</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5.2.2 若采购人宣读的内容与比选响应文件不符时，比选响应人有权在比选现场提出异议，经监管人员当场核查确认之后，可重新宣读其比选响应文件。若比选响应人现场未提出异议，则认为比选响应人已确认采购人宣读的内容。</w:t>
      </w:r>
    </w:p>
    <w:p>
      <w:pPr>
        <w:pStyle w:val="4"/>
        <w:spacing w:line="240" w:lineRule="auto"/>
        <w:ind w:firstLine="472" w:firstLineChars="147"/>
        <w:rPr>
          <w:rFonts w:asciiTheme="majorEastAsia" w:hAnsiTheme="majorEastAsia" w:eastAsiaTheme="majorEastAsia"/>
          <w:color w:val="auto"/>
          <w:highlight w:val="none"/>
        </w:rPr>
      </w:pPr>
      <w:bookmarkStart w:id="168" w:name="_Toc459888240"/>
      <w:bookmarkStart w:id="169" w:name="_Toc325034230"/>
      <w:bookmarkStart w:id="170" w:name="_Toc487"/>
      <w:bookmarkStart w:id="171" w:name="_Toc6325"/>
      <w:bookmarkStart w:id="172" w:name="_Toc646"/>
      <w:bookmarkStart w:id="173" w:name="_Toc27545"/>
      <w:r>
        <w:rPr>
          <w:rFonts w:hint="eastAsia" w:asciiTheme="majorEastAsia" w:hAnsiTheme="majorEastAsia" w:eastAsiaTheme="majorEastAsia"/>
          <w:color w:val="auto"/>
          <w:highlight w:val="none"/>
        </w:rPr>
        <w:t>6．评</w:t>
      </w:r>
      <w:bookmarkEnd w:id="168"/>
      <w:bookmarkEnd w:id="169"/>
      <w:r>
        <w:rPr>
          <w:rFonts w:hint="eastAsia" w:asciiTheme="majorEastAsia" w:hAnsiTheme="majorEastAsia" w:eastAsiaTheme="majorEastAsia"/>
          <w:color w:val="auto"/>
          <w:highlight w:val="none"/>
        </w:rPr>
        <w:t>审</w:t>
      </w:r>
      <w:bookmarkEnd w:id="170"/>
      <w:bookmarkEnd w:id="171"/>
      <w:bookmarkEnd w:id="172"/>
      <w:bookmarkEnd w:id="173"/>
    </w:p>
    <w:p>
      <w:pPr>
        <w:ind w:firstLine="482"/>
        <w:rPr>
          <w:rFonts w:asciiTheme="minorEastAsia" w:hAnsiTheme="minorEastAsia"/>
          <w:highlight w:val="none"/>
        </w:rPr>
      </w:pPr>
      <w:r>
        <w:rPr>
          <w:rFonts w:hint="eastAsia" w:asciiTheme="minorEastAsia" w:hAnsiTheme="minorEastAsia"/>
          <w:highlight w:val="none"/>
        </w:rPr>
        <w:t>6.1 评审委员会</w:t>
      </w:r>
    </w:p>
    <w:p>
      <w:pPr>
        <w:ind w:firstLine="480"/>
        <w:rPr>
          <w:rFonts w:asciiTheme="minorEastAsia" w:hAnsiTheme="minorEastAsia"/>
          <w:highlight w:val="none"/>
        </w:rPr>
      </w:pPr>
      <w:r>
        <w:rPr>
          <w:rFonts w:hint="eastAsia" w:asciiTheme="minorEastAsia" w:hAnsiTheme="minorEastAsia"/>
          <w:highlight w:val="none"/>
        </w:rPr>
        <w:t>6.1.1 评审由采购人依法组建的评审委员会负责。评审委员会由有关技术、经济等方面的专家组成。评审委员会成员人数以及技术、经济等方面专家的确定方式见比选响应人须知前附表。</w:t>
      </w:r>
    </w:p>
    <w:p>
      <w:pPr>
        <w:ind w:firstLine="480"/>
        <w:rPr>
          <w:rFonts w:asciiTheme="minorEastAsia" w:hAnsiTheme="minorEastAsia"/>
          <w:highlight w:val="none"/>
        </w:rPr>
      </w:pPr>
      <w:r>
        <w:rPr>
          <w:rFonts w:hint="eastAsia" w:asciiTheme="minorEastAsia" w:hAnsiTheme="minorEastAsia"/>
          <w:highlight w:val="none"/>
        </w:rPr>
        <w:t>6.1.2 评审委员会成员有下列情形之一的，应当回避：</w:t>
      </w:r>
    </w:p>
    <w:p>
      <w:pPr>
        <w:ind w:firstLine="480"/>
        <w:rPr>
          <w:rFonts w:asciiTheme="minorEastAsia" w:hAnsiTheme="minorEastAsia"/>
          <w:highlight w:val="none"/>
        </w:rPr>
      </w:pPr>
      <w:r>
        <w:rPr>
          <w:rFonts w:hint="eastAsia" w:asciiTheme="minorEastAsia" w:hAnsiTheme="minorEastAsia"/>
          <w:highlight w:val="none"/>
        </w:rPr>
        <w:t>(1）采购人或比选响应人的主要负责人的近亲属；</w:t>
      </w:r>
    </w:p>
    <w:p>
      <w:pPr>
        <w:ind w:firstLine="480"/>
        <w:rPr>
          <w:rFonts w:asciiTheme="minorEastAsia" w:hAnsiTheme="minorEastAsia"/>
          <w:highlight w:val="none"/>
        </w:rPr>
      </w:pPr>
      <w:r>
        <w:rPr>
          <w:rFonts w:hint="eastAsia" w:asciiTheme="minorEastAsia" w:hAnsiTheme="minorEastAsia"/>
          <w:highlight w:val="none"/>
        </w:rPr>
        <w:t>(2）项目主管部门或者行政监督部门的人员；</w:t>
      </w:r>
    </w:p>
    <w:p>
      <w:pPr>
        <w:ind w:firstLine="480"/>
        <w:rPr>
          <w:rFonts w:asciiTheme="minorEastAsia" w:hAnsiTheme="minorEastAsia"/>
          <w:highlight w:val="none"/>
        </w:rPr>
      </w:pPr>
      <w:r>
        <w:rPr>
          <w:rFonts w:hint="eastAsia" w:asciiTheme="minorEastAsia" w:hAnsiTheme="minorEastAsia"/>
          <w:highlight w:val="none"/>
        </w:rPr>
        <w:t>(3）与比选响应人有经济利益关系，可能影响对投标公正评审的；</w:t>
      </w:r>
    </w:p>
    <w:p>
      <w:pPr>
        <w:ind w:firstLine="480"/>
        <w:rPr>
          <w:rFonts w:asciiTheme="minorEastAsia" w:hAnsiTheme="minorEastAsia"/>
          <w:highlight w:val="none"/>
        </w:rPr>
      </w:pPr>
      <w:r>
        <w:rPr>
          <w:rFonts w:hint="eastAsia" w:asciiTheme="minorEastAsia" w:hAnsiTheme="minorEastAsia"/>
          <w:highlight w:val="none"/>
        </w:rPr>
        <w:t>(4）曾因在采购、评审以及其他与比选采购有关活动中从事违法行为而受过行政处罚或刑事处罚的。</w:t>
      </w:r>
    </w:p>
    <w:p>
      <w:pPr>
        <w:ind w:firstLine="482"/>
        <w:rPr>
          <w:rFonts w:asciiTheme="minorEastAsia" w:hAnsiTheme="minorEastAsia"/>
          <w:highlight w:val="none"/>
        </w:rPr>
      </w:pPr>
      <w:r>
        <w:rPr>
          <w:rFonts w:hint="eastAsia" w:asciiTheme="minorEastAsia" w:hAnsiTheme="minorEastAsia"/>
          <w:highlight w:val="none"/>
        </w:rPr>
        <w:t>6.2 评审原则</w:t>
      </w:r>
    </w:p>
    <w:p>
      <w:pPr>
        <w:ind w:firstLine="480"/>
        <w:rPr>
          <w:rFonts w:asciiTheme="minorEastAsia" w:hAnsiTheme="minorEastAsia"/>
          <w:highlight w:val="none"/>
        </w:rPr>
      </w:pPr>
      <w:r>
        <w:rPr>
          <w:rFonts w:hint="eastAsia" w:asciiTheme="minorEastAsia" w:hAnsiTheme="minorEastAsia"/>
          <w:highlight w:val="none"/>
        </w:rPr>
        <w:t>评审活动遵循公平、公正、科学和择优的原则。</w:t>
      </w:r>
    </w:p>
    <w:p>
      <w:pPr>
        <w:ind w:firstLine="482"/>
        <w:rPr>
          <w:rFonts w:asciiTheme="minorEastAsia" w:hAnsiTheme="minorEastAsia"/>
          <w:highlight w:val="none"/>
        </w:rPr>
      </w:pPr>
      <w:r>
        <w:rPr>
          <w:rFonts w:hint="eastAsia" w:asciiTheme="minorEastAsia" w:hAnsiTheme="minorEastAsia"/>
          <w:highlight w:val="none"/>
        </w:rPr>
        <w:t>6.3 评审</w:t>
      </w:r>
    </w:p>
    <w:p>
      <w:pPr>
        <w:ind w:firstLine="480"/>
        <w:rPr>
          <w:rFonts w:asciiTheme="minorEastAsia" w:hAnsiTheme="minorEastAsia"/>
          <w:highlight w:val="none"/>
        </w:rPr>
      </w:pPr>
      <w:r>
        <w:rPr>
          <w:rFonts w:hint="eastAsia" w:asciiTheme="minorEastAsia" w:hAnsiTheme="minorEastAsia"/>
          <w:highlight w:val="none"/>
        </w:rPr>
        <w:t>评审委员会根据有效最低价进行评审。</w:t>
      </w:r>
    </w:p>
    <w:p>
      <w:pPr>
        <w:pStyle w:val="4"/>
        <w:spacing w:line="240" w:lineRule="auto"/>
        <w:ind w:firstLine="472" w:firstLineChars="147"/>
        <w:rPr>
          <w:rFonts w:asciiTheme="minorEastAsia" w:hAnsiTheme="minorEastAsia" w:eastAsiaTheme="minorEastAsia"/>
          <w:color w:val="auto"/>
          <w:highlight w:val="none"/>
        </w:rPr>
      </w:pPr>
      <w:bookmarkStart w:id="174" w:name="_Toc30435"/>
      <w:bookmarkStart w:id="175" w:name="_Toc28297"/>
      <w:bookmarkStart w:id="176" w:name="_Toc459888241"/>
      <w:bookmarkStart w:id="177" w:name="_Toc325034231"/>
      <w:bookmarkStart w:id="178" w:name="_Toc7570"/>
      <w:bookmarkStart w:id="179" w:name="_Toc31301"/>
      <w:r>
        <w:rPr>
          <w:rFonts w:hint="eastAsia" w:asciiTheme="minorEastAsia" w:hAnsiTheme="minorEastAsia" w:eastAsiaTheme="minorEastAsia"/>
          <w:color w:val="auto"/>
          <w:highlight w:val="none"/>
        </w:rPr>
        <w:t>7．合同授予</w:t>
      </w:r>
      <w:bookmarkEnd w:id="174"/>
      <w:bookmarkEnd w:id="175"/>
      <w:bookmarkEnd w:id="176"/>
      <w:bookmarkEnd w:id="177"/>
      <w:bookmarkEnd w:id="178"/>
      <w:bookmarkEnd w:id="179"/>
    </w:p>
    <w:p>
      <w:pPr>
        <w:ind w:firstLine="482"/>
        <w:rPr>
          <w:rFonts w:asciiTheme="minorEastAsia" w:hAnsiTheme="minorEastAsia"/>
          <w:highlight w:val="none"/>
        </w:rPr>
      </w:pPr>
      <w:r>
        <w:rPr>
          <w:rFonts w:hint="eastAsia" w:asciiTheme="minorEastAsia" w:hAnsiTheme="minorEastAsia"/>
          <w:highlight w:val="none"/>
        </w:rPr>
        <w:t>7.1 中选方式</w:t>
      </w:r>
    </w:p>
    <w:p>
      <w:pPr>
        <w:spacing w:line="400" w:lineRule="exact"/>
        <w:ind w:firstLine="480"/>
        <w:rPr>
          <w:rFonts w:asciiTheme="minorEastAsia" w:hAnsiTheme="minorEastAsia"/>
          <w:highlight w:val="none"/>
        </w:rPr>
      </w:pPr>
      <w:r>
        <w:rPr>
          <w:rFonts w:hint="eastAsia" w:asciiTheme="minorEastAsia" w:hAnsiTheme="minorEastAsia"/>
          <w:highlight w:val="none"/>
        </w:rPr>
        <w:t>采购人根据评审委员会推荐的中选候选人中确定成交人。</w:t>
      </w:r>
    </w:p>
    <w:p>
      <w:pPr>
        <w:spacing w:line="400" w:lineRule="exact"/>
        <w:ind w:firstLine="480"/>
        <w:rPr>
          <w:rFonts w:asciiTheme="minorEastAsia" w:hAnsiTheme="minorEastAsia"/>
          <w:highlight w:val="none"/>
          <w:u w:val="single"/>
        </w:rPr>
      </w:pPr>
      <w:r>
        <w:rPr>
          <w:rFonts w:hint="eastAsia" w:asciiTheme="minorEastAsia" w:hAnsiTheme="minorEastAsia"/>
          <w:highlight w:val="none"/>
          <w:u w:val="single"/>
        </w:rPr>
        <w:t>如果排名第一的中选候选人放弃中选、因不可抗力提出不能履行合同或者比选文件规定应当提交履约担保而在规定期限未能提交的，采购人将依法确定排名第二的中选候选人为成交人，依此类推。若所有中选候选人均出现上述情况，采购人将依法重新采购。</w:t>
      </w:r>
    </w:p>
    <w:p>
      <w:pPr>
        <w:ind w:firstLine="482"/>
        <w:rPr>
          <w:rFonts w:asciiTheme="minorEastAsia" w:hAnsiTheme="minorEastAsia"/>
          <w:highlight w:val="none"/>
        </w:rPr>
      </w:pPr>
      <w:r>
        <w:rPr>
          <w:rFonts w:hint="eastAsia" w:asciiTheme="minorEastAsia" w:hAnsiTheme="minorEastAsia"/>
          <w:highlight w:val="none"/>
        </w:rPr>
        <w:t>7.2 中选通知</w:t>
      </w:r>
    </w:p>
    <w:p>
      <w:pPr>
        <w:ind w:firstLine="480"/>
        <w:rPr>
          <w:rFonts w:asciiTheme="minorEastAsia" w:hAnsiTheme="minorEastAsia"/>
          <w:highlight w:val="none"/>
        </w:rPr>
      </w:pPr>
      <w:r>
        <w:rPr>
          <w:rFonts w:hint="eastAsia" w:asciiTheme="minorEastAsia" w:hAnsiTheme="minorEastAsia"/>
          <w:highlight w:val="none"/>
        </w:rPr>
        <w:t>在比选响应人须知前附表第3.2 款规定的投标有效期内，采购人以书面形式向成交人发出中选通知书。</w:t>
      </w:r>
    </w:p>
    <w:p>
      <w:pPr>
        <w:ind w:firstLine="482"/>
        <w:rPr>
          <w:rFonts w:hint="eastAsia" w:asciiTheme="minorEastAsia" w:hAnsiTheme="minorEastAsia"/>
          <w:highlight w:val="none"/>
        </w:rPr>
      </w:pPr>
    </w:p>
    <w:p>
      <w:pPr>
        <w:ind w:firstLine="482"/>
        <w:rPr>
          <w:rFonts w:asciiTheme="minorEastAsia" w:hAnsiTheme="minorEastAsia"/>
          <w:highlight w:val="none"/>
        </w:rPr>
      </w:pPr>
      <w:r>
        <w:rPr>
          <w:rFonts w:hint="eastAsia" w:asciiTheme="minorEastAsia" w:hAnsiTheme="minorEastAsia"/>
          <w:highlight w:val="none"/>
        </w:rPr>
        <w:t>7.3</w:t>
      </w:r>
      <w:r>
        <w:rPr>
          <w:rFonts w:hint="eastAsia" w:asciiTheme="minorEastAsia" w:hAnsiTheme="minorEastAsia"/>
          <w:highlight w:val="none"/>
          <w:lang w:val="en-US" w:eastAsia="zh-CN"/>
        </w:rPr>
        <w:t xml:space="preserve"> </w:t>
      </w:r>
      <w:r>
        <w:rPr>
          <w:rFonts w:hint="eastAsia" w:asciiTheme="minorEastAsia" w:hAnsiTheme="minorEastAsia"/>
          <w:highlight w:val="none"/>
        </w:rPr>
        <w:t>履约担保</w:t>
      </w:r>
    </w:p>
    <w:p>
      <w:pPr>
        <w:spacing w:line="360" w:lineRule="auto"/>
        <w:ind w:firstLine="480"/>
        <w:rPr>
          <w:rFonts w:asciiTheme="minorEastAsia" w:hAnsiTheme="minorEastAsia"/>
          <w:szCs w:val="28"/>
          <w:highlight w:val="none"/>
          <w:u w:val="single"/>
        </w:rPr>
      </w:pPr>
      <w:r>
        <w:rPr>
          <w:rFonts w:hint="eastAsia" w:asciiTheme="minorEastAsia" w:hAnsiTheme="minorEastAsia"/>
          <w:highlight w:val="none"/>
          <w:u w:val="single"/>
        </w:rPr>
        <w:t>履约保证金为人民币</w:t>
      </w:r>
      <w:r>
        <w:rPr>
          <w:rFonts w:hint="eastAsia" w:asciiTheme="minorEastAsia" w:hAnsiTheme="minorEastAsia"/>
          <w:szCs w:val="28"/>
          <w:highlight w:val="none"/>
          <w:u w:val="single"/>
        </w:rPr>
        <w:t>即合同总价的1</w:t>
      </w:r>
      <w:r>
        <w:rPr>
          <w:rFonts w:asciiTheme="minorEastAsia" w:hAnsiTheme="minorEastAsia"/>
          <w:szCs w:val="28"/>
          <w:highlight w:val="none"/>
          <w:u w:val="single"/>
        </w:rPr>
        <w:t>0</w:t>
      </w:r>
      <w:r>
        <w:rPr>
          <w:rFonts w:hint="eastAsia" w:asciiTheme="minorEastAsia" w:hAnsiTheme="minorEastAsia"/>
          <w:szCs w:val="28"/>
          <w:highlight w:val="none"/>
          <w:u w:val="single"/>
        </w:rPr>
        <w:t>%，</w:t>
      </w:r>
      <w:r>
        <w:rPr>
          <w:rFonts w:hint="eastAsia" w:asciiTheme="minorEastAsia" w:hAnsiTheme="minorEastAsia"/>
          <w:highlight w:val="none"/>
          <w:u w:val="single"/>
        </w:rPr>
        <w:t>方式为货币资金形式（不接受保函），</w:t>
      </w:r>
      <w:r>
        <w:rPr>
          <w:rFonts w:hint="eastAsia" w:asciiTheme="minorEastAsia" w:hAnsiTheme="minorEastAsia"/>
          <w:szCs w:val="28"/>
          <w:highlight w:val="none"/>
          <w:u w:val="single"/>
        </w:rPr>
        <w:t>投标保证金自动转为履约保证金，其余部分在中选通知书发出后五日内，合同签订前补足，作为本合同生效的必要条件。</w:t>
      </w:r>
    </w:p>
    <w:p>
      <w:pPr>
        <w:ind w:firstLine="482"/>
        <w:rPr>
          <w:rFonts w:asciiTheme="minorEastAsia" w:hAnsiTheme="minorEastAsia"/>
          <w:highlight w:val="none"/>
        </w:rPr>
      </w:pPr>
      <w:r>
        <w:rPr>
          <w:rFonts w:hint="eastAsia" w:asciiTheme="minorEastAsia" w:hAnsiTheme="minorEastAsia"/>
          <w:highlight w:val="none"/>
        </w:rPr>
        <w:t>7.4 签订合同</w:t>
      </w:r>
    </w:p>
    <w:p>
      <w:pPr>
        <w:ind w:firstLine="480"/>
        <w:rPr>
          <w:rFonts w:asciiTheme="minorEastAsia" w:hAnsiTheme="minorEastAsia"/>
          <w:highlight w:val="none"/>
        </w:rPr>
      </w:pPr>
      <w:r>
        <w:rPr>
          <w:rFonts w:hint="eastAsia" w:asciiTheme="minorEastAsia" w:hAnsiTheme="minorEastAsia"/>
          <w:highlight w:val="none"/>
        </w:rPr>
        <w:t>7.4.1 采购人和成交人应当自中选通知书发出之日起30天内，根据比选文件和成交人的比选响应文件订立书面合同。成交人无正当理由拒签合同的，采购人取消其中选资格，其投标保证金不予退还；给采购人造成的损失超过投标保证金数额的，成交人还应当对超过部分予以赔偿。</w:t>
      </w:r>
    </w:p>
    <w:p>
      <w:pPr>
        <w:ind w:firstLine="480"/>
        <w:rPr>
          <w:rFonts w:asciiTheme="minorEastAsia" w:hAnsiTheme="minorEastAsia"/>
          <w:highlight w:val="none"/>
        </w:rPr>
      </w:pPr>
      <w:r>
        <w:rPr>
          <w:rFonts w:hint="eastAsia" w:asciiTheme="minorEastAsia" w:hAnsiTheme="minorEastAsia"/>
          <w:highlight w:val="none"/>
        </w:rPr>
        <w:t>7.4.2 发出中选通知书后，采购人无正当理由拒签合同的，采购人向成交人退还投标保证金；给成交人造成损失的，还应当赔偿损失。</w:t>
      </w:r>
    </w:p>
    <w:p>
      <w:pPr>
        <w:ind w:firstLine="480"/>
        <w:rPr>
          <w:rFonts w:asciiTheme="minorEastAsia" w:hAnsiTheme="minorEastAsia"/>
          <w:highlight w:val="none"/>
        </w:rPr>
      </w:pPr>
      <w:r>
        <w:rPr>
          <w:rFonts w:hint="eastAsia" w:asciiTheme="minorEastAsia" w:hAnsiTheme="minorEastAsia"/>
          <w:highlight w:val="none"/>
        </w:rPr>
        <w:t>7.4.3 如果根据本章第7.4.1项规定，采购人取消了成交人的中选资格，在此情况下，采购人可将合同授予下一个中选候选人，或者按规定重新组织采购。</w:t>
      </w:r>
    </w:p>
    <w:p>
      <w:pPr>
        <w:pStyle w:val="4"/>
        <w:spacing w:line="240" w:lineRule="auto"/>
        <w:ind w:firstLine="472" w:firstLineChars="147"/>
        <w:rPr>
          <w:rFonts w:asciiTheme="minorEastAsia" w:hAnsiTheme="minorEastAsia" w:eastAsiaTheme="minorEastAsia"/>
          <w:color w:val="auto"/>
          <w:highlight w:val="none"/>
        </w:rPr>
      </w:pPr>
      <w:bookmarkStart w:id="180" w:name="_Toc325034232"/>
      <w:bookmarkStart w:id="181" w:name="_Toc459888242"/>
      <w:bookmarkStart w:id="182" w:name="_Toc1989"/>
      <w:bookmarkStart w:id="183" w:name="_Toc5118"/>
      <w:bookmarkStart w:id="184" w:name="_Toc24829"/>
      <w:bookmarkStart w:id="185" w:name="_Toc7382"/>
      <w:r>
        <w:rPr>
          <w:rFonts w:hint="eastAsia" w:asciiTheme="minorEastAsia" w:hAnsiTheme="minorEastAsia" w:eastAsiaTheme="minorEastAsia"/>
          <w:color w:val="auto"/>
          <w:highlight w:val="none"/>
        </w:rPr>
        <w:t>8．</w:t>
      </w:r>
      <w:r>
        <w:rPr>
          <w:rFonts w:hint="eastAsia" w:asciiTheme="majorEastAsia" w:hAnsiTheme="majorEastAsia" w:eastAsiaTheme="majorEastAsia"/>
          <w:color w:val="auto"/>
          <w:highlight w:val="none"/>
        </w:rPr>
        <w:t>重新</w:t>
      </w:r>
      <w:bookmarkEnd w:id="180"/>
      <w:bookmarkEnd w:id="181"/>
      <w:r>
        <w:rPr>
          <w:rFonts w:hint="eastAsia" w:asciiTheme="minorEastAsia" w:hAnsiTheme="minorEastAsia" w:eastAsiaTheme="minorEastAsia"/>
          <w:color w:val="auto"/>
          <w:highlight w:val="none"/>
        </w:rPr>
        <w:t>比选</w:t>
      </w:r>
      <w:bookmarkEnd w:id="182"/>
      <w:bookmarkEnd w:id="183"/>
      <w:bookmarkEnd w:id="184"/>
      <w:bookmarkEnd w:id="185"/>
    </w:p>
    <w:p>
      <w:pPr>
        <w:ind w:firstLine="482"/>
        <w:rPr>
          <w:rFonts w:asciiTheme="minorEastAsia" w:hAnsiTheme="minorEastAsia"/>
          <w:highlight w:val="none"/>
        </w:rPr>
      </w:pPr>
      <w:r>
        <w:rPr>
          <w:rFonts w:hint="eastAsia" w:asciiTheme="minorEastAsia" w:hAnsiTheme="minorEastAsia"/>
          <w:highlight w:val="none"/>
        </w:rPr>
        <w:t>8.1 重新比选</w:t>
      </w:r>
    </w:p>
    <w:p>
      <w:pPr>
        <w:ind w:firstLine="480"/>
        <w:rPr>
          <w:rFonts w:asciiTheme="minorEastAsia" w:hAnsiTheme="minorEastAsia"/>
          <w:highlight w:val="none"/>
        </w:rPr>
      </w:pPr>
      <w:r>
        <w:rPr>
          <w:rFonts w:hint="eastAsia" w:asciiTheme="minorEastAsia" w:hAnsiTheme="minorEastAsia"/>
          <w:highlight w:val="none"/>
        </w:rPr>
        <w:t>有下列情形之一的，采购人将重新比选：</w:t>
      </w:r>
    </w:p>
    <w:p>
      <w:pPr>
        <w:ind w:firstLine="480"/>
        <w:rPr>
          <w:rFonts w:asciiTheme="minorEastAsia" w:hAnsiTheme="minorEastAsia"/>
          <w:highlight w:val="none"/>
        </w:rPr>
      </w:pPr>
      <w:r>
        <w:rPr>
          <w:rFonts w:hint="eastAsia" w:asciiTheme="minorEastAsia" w:hAnsiTheme="minorEastAsia"/>
          <w:highlight w:val="none"/>
        </w:rPr>
        <w:t>(l）投标截止时间止，比选响应人少于3 个的；</w:t>
      </w:r>
    </w:p>
    <w:p>
      <w:pPr>
        <w:ind w:firstLine="480"/>
        <w:rPr>
          <w:rFonts w:asciiTheme="minorEastAsia" w:hAnsiTheme="minorEastAsia"/>
          <w:highlight w:val="none"/>
        </w:rPr>
      </w:pPr>
      <w:r>
        <w:rPr>
          <w:rFonts w:hint="eastAsia" w:asciiTheme="minorEastAsia" w:hAnsiTheme="minorEastAsia"/>
          <w:highlight w:val="none"/>
        </w:rPr>
        <w:t>(2）经评审小组评审后否决所有投标的；</w:t>
      </w:r>
    </w:p>
    <w:p>
      <w:pPr>
        <w:ind w:firstLine="480"/>
        <w:rPr>
          <w:rFonts w:asciiTheme="minorEastAsia" w:hAnsiTheme="minorEastAsia"/>
          <w:highlight w:val="none"/>
        </w:rPr>
      </w:pPr>
      <w:r>
        <w:rPr>
          <w:rFonts w:hint="eastAsia" w:asciiTheme="minorEastAsia" w:hAnsiTheme="minorEastAsia"/>
          <w:highlight w:val="none"/>
        </w:rPr>
        <w:t>(3) 中选候选人均未与采购人签订合同的；</w:t>
      </w:r>
    </w:p>
    <w:p>
      <w:pPr>
        <w:ind w:firstLine="480"/>
        <w:rPr>
          <w:rFonts w:asciiTheme="minorEastAsia" w:hAnsiTheme="minorEastAsia"/>
          <w:highlight w:val="none"/>
        </w:rPr>
      </w:pPr>
      <w:r>
        <w:rPr>
          <w:rFonts w:hint="eastAsia" w:asciiTheme="minorEastAsia" w:hAnsiTheme="minorEastAsia"/>
          <w:highlight w:val="none"/>
        </w:rPr>
        <w:t>(4) 法律规定的其他情形。</w:t>
      </w:r>
    </w:p>
    <w:p>
      <w:pPr>
        <w:ind w:firstLine="480"/>
        <w:rPr>
          <w:rFonts w:asciiTheme="minorEastAsia" w:hAnsiTheme="minorEastAsia"/>
          <w:highlight w:val="none"/>
        </w:rPr>
      </w:pPr>
      <w:r>
        <w:rPr>
          <w:rFonts w:hint="eastAsia" w:asciiTheme="minorEastAsia" w:hAnsiTheme="minorEastAsia"/>
          <w:highlight w:val="none"/>
        </w:rPr>
        <w:t>注：重新比选时，投标截止时间止，比选响应人少于3 个的，按规定程序开评审。</w:t>
      </w:r>
    </w:p>
    <w:p>
      <w:pPr>
        <w:pStyle w:val="4"/>
        <w:spacing w:line="240" w:lineRule="auto"/>
        <w:ind w:firstLine="472" w:firstLineChars="147"/>
        <w:rPr>
          <w:rFonts w:asciiTheme="minorEastAsia" w:hAnsiTheme="minorEastAsia" w:eastAsiaTheme="minorEastAsia"/>
          <w:color w:val="auto"/>
          <w:highlight w:val="none"/>
        </w:rPr>
      </w:pPr>
      <w:bookmarkStart w:id="186" w:name="_Toc7387"/>
      <w:bookmarkStart w:id="187" w:name="_Toc25678"/>
      <w:bookmarkStart w:id="188" w:name="_Toc325034233"/>
      <w:bookmarkStart w:id="189" w:name="_Toc459888243"/>
      <w:bookmarkStart w:id="190" w:name="_Toc27438"/>
      <w:bookmarkStart w:id="191" w:name="_Toc9419"/>
      <w:r>
        <w:rPr>
          <w:rFonts w:hint="eastAsia" w:asciiTheme="minorEastAsia" w:hAnsiTheme="minorEastAsia" w:eastAsiaTheme="minorEastAsia"/>
          <w:color w:val="auto"/>
          <w:highlight w:val="none"/>
        </w:rPr>
        <w:t>9．纪律和监督</w:t>
      </w:r>
      <w:bookmarkEnd w:id="186"/>
      <w:bookmarkEnd w:id="187"/>
      <w:bookmarkEnd w:id="188"/>
      <w:bookmarkEnd w:id="189"/>
      <w:bookmarkEnd w:id="190"/>
      <w:bookmarkEnd w:id="191"/>
    </w:p>
    <w:p>
      <w:pPr>
        <w:ind w:firstLine="482"/>
        <w:rPr>
          <w:rFonts w:asciiTheme="minorEastAsia" w:hAnsiTheme="minorEastAsia"/>
          <w:highlight w:val="none"/>
        </w:rPr>
      </w:pPr>
      <w:r>
        <w:rPr>
          <w:rFonts w:hint="eastAsia" w:asciiTheme="minorEastAsia" w:hAnsiTheme="minorEastAsia"/>
          <w:highlight w:val="none"/>
        </w:rPr>
        <w:t>9.1 对采购人的纪律要求</w:t>
      </w:r>
    </w:p>
    <w:p>
      <w:pPr>
        <w:ind w:firstLine="480"/>
        <w:rPr>
          <w:rFonts w:asciiTheme="minorEastAsia" w:hAnsiTheme="minorEastAsia"/>
          <w:highlight w:val="none"/>
        </w:rPr>
      </w:pPr>
      <w:r>
        <w:rPr>
          <w:rFonts w:hint="eastAsia" w:asciiTheme="minorEastAsia" w:hAnsiTheme="minorEastAsia"/>
          <w:highlight w:val="none"/>
        </w:rPr>
        <w:t>采购人不得泄漏比选采购活动中应当保密的情况和资料，不得与比选响应人串通损害国家利益、社会公共利益或者他人合法权益。</w:t>
      </w:r>
    </w:p>
    <w:p>
      <w:pPr>
        <w:ind w:firstLine="482"/>
        <w:rPr>
          <w:rFonts w:asciiTheme="minorEastAsia" w:hAnsiTheme="minorEastAsia"/>
          <w:highlight w:val="none"/>
        </w:rPr>
      </w:pPr>
      <w:r>
        <w:rPr>
          <w:rFonts w:hint="eastAsia" w:asciiTheme="minorEastAsia" w:hAnsiTheme="minorEastAsia"/>
          <w:highlight w:val="none"/>
        </w:rPr>
        <w:t>9.2 对比选响应人的纪律要求</w:t>
      </w:r>
    </w:p>
    <w:p>
      <w:pPr>
        <w:ind w:firstLine="480"/>
        <w:rPr>
          <w:rFonts w:asciiTheme="minorEastAsia" w:hAnsiTheme="minorEastAsia"/>
          <w:highlight w:val="none"/>
        </w:rPr>
      </w:pPr>
      <w:r>
        <w:rPr>
          <w:rFonts w:hint="eastAsia" w:asciiTheme="minorEastAsia" w:hAnsiTheme="minorEastAsia"/>
          <w:highlight w:val="none"/>
        </w:rPr>
        <w:t>比选响应人不得相互串通投标或者与采购人串通投标，不得向采购人或者评审委员会成员行贿谋取中选，不得以他人名义投标或者以其他方式弄虚作假骗取中选；比选响应人不得以任何方式干扰、影响评审工作。</w:t>
      </w:r>
    </w:p>
    <w:p>
      <w:pPr>
        <w:ind w:firstLine="482"/>
        <w:rPr>
          <w:rFonts w:asciiTheme="minorEastAsia" w:hAnsiTheme="minorEastAsia"/>
          <w:highlight w:val="none"/>
        </w:rPr>
      </w:pPr>
      <w:r>
        <w:rPr>
          <w:rFonts w:hint="eastAsia" w:asciiTheme="minorEastAsia" w:hAnsiTheme="minorEastAsia"/>
          <w:highlight w:val="none"/>
        </w:rPr>
        <w:t>9.3 对评审委员会成员的纪律要求</w:t>
      </w:r>
    </w:p>
    <w:p>
      <w:pPr>
        <w:ind w:firstLine="480"/>
        <w:rPr>
          <w:rFonts w:asciiTheme="minorEastAsia" w:hAnsiTheme="minorEastAsia"/>
          <w:highlight w:val="none"/>
        </w:rPr>
      </w:pPr>
      <w:r>
        <w:rPr>
          <w:rFonts w:hint="eastAsia" w:asciiTheme="minorEastAsia" w:hAnsiTheme="minorEastAsia"/>
          <w:highlight w:val="none"/>
        </w:rPr>
        <w:t>评审委员会成员不得收受他人的财物或者其他好处，不得向他人透漏对比选响应文件的评审和比较、中选候选人的推荐情况以及评审有关的其他情况。在评审活动中，评审委员会成员不得擅离职守，影响评审程序正常进行。</w:t>
      </w:r>
    </w:p>
    <w:p>
      <w:pPr>
        <w:ind w:firstLine="482"/>
        <w:rPr>
          <w:rFonts w:asciiTheme="minorEastAsia" w:hAnsiTheme="minorEastAsia"/>
          <w:highlight w:val="none"/>
        </w:rPr>
      </w:pPr>
      <w:r>
        <w:rPr>
          <w:rFonts w:hint="eastAsia" w:asciiTheme="minorEastAsia" w:hAnsiTheme="minorEastAsia"/>
          <w:highlight w:val="none"/>
        </w:rPr>
        <w:t>9.4 对与评审活动有关的工作人员的纪律要求</w:t>
      </w:r>
    </w:p>
    <w:p>
      <w:pPr>
        <w:ind w:firstLine="480"/>
        <w:rPr>
          <w:rFonts w:asciiTheme="minorEastAsia" w:hAnsiTheme="minorEastAsia"/>
          <w:highlight w:val="none"/>
        </w:rPr>
      </w:pPr>
      <w:r>
        <w:rPr>
          <w:rFonts w:hint="eastAsia" w:asciiTheme="minorEastAsia" w:hAnsiTheme="minorEastAsia"/>
          <w:highlight w:val="none"/>
        </w:rPr>
        <w:t>与评审活动有关的工作人员不得收受他人的财物或者其他好处，不得向他人透漏对比选响应文件的评审和比较、中选候选人的推荐情况以及评审有关的其他情况。在评审活动中，与评审活动有关的工作人员不得擅离职守，影响评审程序正常进行。</w:t>
      </w:r>
    </w:p>
    <w:p>
      <w:pPr>
        <w:ind w:firstLine="482"/>
        <w:rPr>
          <w:rFonts w:asciiTheme="minorEastAsia" w:hAnsiTheme="minorEastAsia"/>
          <w:highlight w:val="none"/>
        </w:rPr>
      </w:pPr>
      <w:r>
        <w:rPr>
          <w:rFonts w:hint="eastAsia" w:asciiTheme="minorEastAsia" w:hAnsiTheme="minorEastAsia"/>
          <w:highlight w:val="none"/>
        </w:rPr>
        <w:t>9.5 投诉</w:t>
      </w:r>
    </w:p>
    <w:p>
      <w:pPr>
        <w:ind w:firstLine="480"/>
        <w:rPr>
          <w:rFonts w:asciiTheme="minorEastAsia" w:hAnsiTheme="minorEastAsia"/>
          <w:highlight w:val="none"/>
        </w:rPr>
      </w:pPr>
      <w:bookmarkStart w:id="192" w:name="_Toc459888244"/>
      <w:r>
        <w:rPr>
          <w:rFonts w:hint="eastAsia" w:asciiTheme="minorEastAsia" w:hAnsiTheme="minorEastAsia"/>
          <w:highlight w:val="none"/>
        </w:rPr>
        <w:t>9.5.1 比选响应人或其他利害关系人认为比选采购活动不符合法律、行政等规定的，应当在采购结果公示期之内以书面形式向采购人提出异议（以采购人收到书面异议之日为准）。</w:t>
      </w:r>
    </w:p>
    <w:p>
      <w:pPr>
        <w:ind w:firstLine="480"/>
        <w:rPr>
          <w:rFonts w:asciiTheme="minorEastAsia" w:hAnsiTheme="minorEastAsia"/>
          <w:highlight w:val="none"/>
        </w:rPr>
      </w:pPr>
      <w:r>
        <w:rPr>
          <w:rFonts w:hint="eastAsia" w:asciiTheme="minorEastAsia" w:hAnsiTheme="minorEastAsia"/>
          <w:highlight w:val="none"/>
        </w:rPr>
        <w:t>9.5.2 异议提出人向采购人提起异议时，应当提交异议书。异议书应当包括下列内容：</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）异议提出人的名称、地址及有效联系方式。</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）异议事项的基本事实。</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）异议请求及主张。</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）有效线索和相关证据、证明材料。</w:t>
      </w:r>
    </w:p>
    <w:p>
      <w:pPr>
        <w:ind w:firstLine="480"/>
        <w:rPr>
          <w:rFonts w:asciiTheme="minorEastAsia" w:hAnsiTheme="minorEastAsia"/>
          <w:highlight w:val="none"/>
        </w:rPr>
      </w:pPr>
      <w:r>
        <w:rPr>
          <w:rFonts w:hint="eastAsia" w:asciiTheme="minorEastAsia" w:hAnsiTheme="minorEastAsia"/>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480"/>
        <w:rPr>
          <w:rFonts w:asciiTheme="minorEastAsia" w:hAnsiTheme="minorEastAsia"/>
          <w:highlight w:val="none"/>
        </w:rPr>
      </w:pPr>
      <w:r>
        <w:rPr>
          <w:rFonts w:hint="eastAsia" w:asciiTheme="minorEastAsia" w:hAnsiTheme="minorEastAsia"/>
          <w:highlight w:val="none"/>
        </w:rPr>
        <w:t>9.5.3 异议提出人对异议事项提出的请求和主张，有责任提供证据；只有自己陈述而不能提出其他相关证据的，对其请求和主张不予支持。</w:t>
      </w:r>
    </w:p>
    <w:p>
      <w:pPr>
        <w:ind w:firstLine="480"/>
        <w:rPr>
          <w:rFonts w:asciiTheme="minorEastAsia" w:hAnsiTheme="minorEastAsia"/>
          <w:highlight w:val="none"/>
        </w:rPr>
      </w:pPr>
      <w:r>
        <w:rPr>
          <w:rFonts w:hint="eastAsia" w:asciiTheme="minorEastAsia" w:hAnsiTheme="minorEastAsia"/>
          <w:highlight w:val="none"/>
        </w:rPr>
        <w:t>9.5.4 异议提出人不得虚假异议、恶意异议，不得以异议为名排挤竞争对手，阻碍招投标活动的正常进行。若出现该情况，视为无效异议，不再受理。</w:t>
      </w:r>
    </w:p>
    <w:p>
      <w:pPr>
        <w:ind w:firstLine="480"/>
        <w:rPr>
          <w:rFonts w:asciiTheme="minorEastAsia" w:hAnsiTheme="minorEastAsia"/>
          <w:highlight w:val="none"/>
        </w:rPr>
      </w:pPr>
      <w:r>
        <w:rPr>
          <w:rFonts w:hint="eastAsia" w:asciiTheme="minorEastAsia" w:hAnsiTheme="minorEastAsia"/>
          <w:highlight w:val="none"/>
        </w:rPr>
        <w:t>9.5.5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）招标投标法第二十二条规定的招标投标保密信息。</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）应当保密的比选响应文件（但采购人提起异议时，比选响应文件不作为非法证据）。</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）招标投标法第四十四条规定保密的比选响应文件评审和比较情况、中选候选人推荐情况和评审有关的其他情况。</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）其他依法应当保密的信息和资料。</w:t>
      </w:r>
    </w:p>
    <w:p>
      <w:pPr>
        <w:ind w:firstLine="480"/>
        <w:rPr>
          <w:rFonts w:asciiTheme="minorEastAsia" w:hAnsiTheme="minorEastAsia"/>
          <w:highlight w:val="none"/>
        </w:rPr>
      </w:pPr>
      <w:r>
        <w:rPr>
          <w:rFonts w:hint="eastAsia" w:asciiTheme="minorEastAsia" w:hAnsiTheme="minorEastAsia"/>
          <w:highlight w:val="none"/>
        </w:rPr>
        <w:t>9.5.6 有下列情形之一的异议，不予受理：</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）异议事项不具体，且未提供有效线索、相关证据和证明材料，难以查证。</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）未署异议提出人真实姓名、签字和有效联系方式。</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）未经法定代表人或授权的委托代理人签字并加盖公章，或未经主要负责人或异议提出人本人签字。</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）不在结果公示期内的。</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5</w:t>
      </w:r>
      <w:r>
        <w:rPr>
          <w:rFonts w:hint="eastAsia" w:asciiTheme="minorEastAsia" w:hAnsiTheme="minorEastAsia"/>
          <w:highlight w:val="none"/>
        </w:rPr>
        <w:t>）已对异议事项做出答复的。</w:t>
      </w:r>
    </w:p>
    <w:p>
      <w:pPr>
        <w:ind w:firstLine="480"/>
        <w:rPr>
          <w:rFonts w:asciiTheme="minorEastAsia" w:hAnsiTheme="minorEastAsia"/>
          <w:highlight w:val="none"/>
        </w:rPr>
      </w:pPr>
      <w:r>
        <w:rPr>
          <w:rFonts w:hint="eastAsia" w:asciiTheme="minorEastAsia" w:hAnsiTheme="minorEastAsia"/>
          <w:highlight w:val="none"/>
        </w:rPr>
        <w:t>注：对比选文件内容的异议应在比选文件规定的质疑期内提出；对比选环节的异议应在比选环节提出。</w:t>
      </w:r>
    </w:p>
    <w:p>
      <w:pPr>
        <w:ind w:firstLine="480"/>
        <w:rPr>
          <w:rFonts w:asciiTheme="minorEastAsia" w:hAnsiTheme="minorEastAsia"/>
          <w:highlight w:val="none"/>
        </w:rPr>
      </w:pPr>
      <w:r>
        <w:rPr>
          <w:rFonts w:hint="eastAsia" w:asciiTheme="minorEastAsia" w:hAnsiTheme="minorEastAsia"/>
          <w:highlight w:val="none"/>
        </w:rPr>
        <w:t>9.5.7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ind w:firstLine="472" w:firstLineChars="147"/>
        <w:rPr>
          <w:rFonts w:asciiTheme="minorEastAsia" w:hAnsiTheme="minorEastAsia" w:eastAsiaTheme="minorEastAsia"/>
          <w:color w:val="auto"/>
          <w:highlight w:val="none"/>
        </w:rPr>
      </w:pPr>
      <w:bookmarkStart w:id="193" w:name="_Toc31534"/>
      <w:bookmarkStart w:id="194" w:name="_Toc31212"/>
      <w:bookmarkStart w:id="195" w:name="_Toc26731"/>
      <w:bookmarkStart w:id="196" w:name="_Toc14509"/>
      <w:r>
        <w:rPr>
          <w:rFonts w:hint="eastAsia" w:asciiTheme="minorEastAsia" w:hAnsiTheme="minorEastAsia" w:eastAsiaTheme="minorEastAsia"/>
          <w:color w:val="auto"/>
          <w:highlight w:val="none"/>
        </w:rPr>
        <w:t>10. 需要补充的其他内容（见比选响应人须知前附表）</w:t>
      </w:r>
      <w:bookmarkEnd w:id="192"/>
      <w:bookmarkEnd w:id="193"/>
      <w:bookmarkEnd w:id="194"/>
      <w:bookmarkEnd w:id="195"/>
      <w:bookmarkEnd w:id="196"/>
      <w:bookmarkStart w:id="197" w:name="_Toc325034237"/>
      <w:r>
        <w:rPr>
          <w:rFonts w:hint="eastAsia" w:asciiTheme="minorEastAsia" w:hAnsiTheme="minorEastAsia" w:eastAsiaTheme="minorEastAsia"/>
          <w:color w:val="auto"/>
          <w:highlight w:val="none"/>
        </w:rPr>
        <w:t xml:space="preserve"> </w:t>
      </w:r>
      <w:bookmarkStart w:id="198" w:name="_Toc459888245"/>
    </w:p>
    <w:p>
      <w:pPr>
        <w:pStyle w:val="3"/>
        <w:ind w:firstLine="562"/>
        <w:rPr>
          <w:rFonts w:asciiTheme="minorEastAsia" w:hAnsiTheme="minorEastAsia" w:eastAsiaTheme="minorEastAsia"/>
          <w:highlight w:val="none"/>
        </w:rPr>
      </w:pPr>
      <w:r>
        <w:rPr>
          <w:rFonts w:asciiTheme="minorEastAsia" w:hAnsiTheme="minorEastAsia" w:eastAsiaTheme="minorEastAsia"/>
          <w:sz w:val="28"/>
          <w:szCs w:val="28"/>
          <w:highlight w:val="none"/>
        </w:rPr>
        <w:br w:type="page"/>
      </w:r>
      <w:bookmarkEnd w:id="197"/>
      <w:bookmarkEnd w:id="198"/>
      <w:bookmarkStart w:id="199" w:name="_Toc459888251"/>
      <w:bookmarkStart w:id="200" w:name="_Toc325034243"/>
    </w:p>
    <w:p>
      <w:pPr>
        <w:pStyle w:val="3"/>
        <w:ind w:firstLine="883"/>
        <w:rPr>
          <w:highlight w:val="none"/>
        </w:rPr>
      </w:pPr>
      <w:bookmarkStart w:id="201" w:name="_Toc4039"/>
      <w:bookmarkStart w:id="202" w:name="_Toc7601"/>
      <w:bookmarkStart w:id="203" w:name="_Toc27927"/>
      <w:bookmarkStart w:id="204" w:name="_Toc13713"/>
      <w:r>
        <w:rPr>
          <w:rFonts w:hint="eastAsia"/>
          <w:highlight w:val="none"/>
        </w:rPr>
        <w:t>第四章 评选办法（有效最低价）</w:t>
      </w:r>
      <w:bookmarkEnd w:id="201"/>
      <w:bookmarkEnd w:id="202"/>
      <w:bookmarkEnd w:id="203"/>
    </w:p>
    <w:p>
      <w:pPr>
        <w:pStyle w:val="4"/>
        <w:ind w:firstLine="643"/>
        <w:jc w:val="center"/>
        <w:rPr>
          <w:highlight w:val="none"/>
        </w:rPr>
      </w:pPr>
      <w:bookmarkStart w:id="205" w:name="_Toc20519"/>
      <w:bookmarkStart w:id="206" w:name="_Toc459888246"/>
      <w:bookmarkStart w:id="207" w:name="_Toc19628"/>
      <w:bookmarkStart w:id="208" w:name="_Toc4964985"/>
      <w:bookmarkStart w:id="209" w:name="_Toc24692"/>
      <w:r>
        <w:rPr>
          <w:rFonts w:hint="eastAsia"/>
          <w:highlight w:val="none"/>
        </w:rPr>
        <w:t>一、评选办法前附表</w:t>
      </w:r>
      <w:bookmarkEnd w:id="205"/>
      <w:bookmarkEnd w:id="206"/>
      <w:bookmarkEnd w:id="207"/>
      <w:bookmarkEnd w:id="208"/>
      <w:bookmarkEnd w:id="209"/>
    </w:p>
    <w:tbl>
      <w:tblPr>
        <w:tblStyle w:val="26"/>
        <w:tblW w:w="962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50"/>
        <w:gridCol w:w="2080"/>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95" w:type="dxa"/>
            <w:gridSpan w:val="2"/>
            <w:vAlign w:val="center"/>
          </w:tcPr>
          <w:p>
            <w:pPr>
              <w:jc w:val="center"/>
              <w:rPr>
                <w:rFonts w:ascii="宋体" w:hAnsi="宋体"/>
                <w:b/>
                <w:color w:val="000000"/>
                <w:highlight w:val="none"/>
              </w:rPr>
            </w:pPr>
            <w:r>
              <w:rPr>
                <w:rFonts w:hint="eastAsia" w:ascii="宋体" w:hAnsi="宋体"/>
                <w:b/>
                <w:color w:val="000000"/>
                <w:highlight w:val="none"/>
              </w:rPr>
              <w:t>条款号</w:t>
            </w:r>
          </w:p>
        </w:tc>
        <w:tc>
          <w:tcPr>
            <w:tcW w:w="2080" w:type="dxa"/>
            <w:vAlign w:val="center"/>
          </w:tcPr>
          <w:p>
            <w:pPr>
              <w:jc w:val="center"/>
              <w:rPr>
                <w:rFonts w:ascii="宋体" w:hAnsi="宋体"/>
                <w:b/>
                <w:color w:val="000000"/>
                <w:highlight w:val="none"/>
              </w:rPr>
            </w:pPr>
            <w:r>
              <w:rPr>
                <w:rFonts w:hint="eastAsia" w:ascii="宋体" w:hAnsi="宋体"/>
                <w:b/>
                <w:color w:val="000000"/>
                <w:highlight w:val="none"/>
              </w:rPr>
              <w:t>评审因素</w:t>
            </w:r>
          </w:p>
        </w:tc>
        <w:tc>
          <w:tcPr>
            <w:tcW w:w="5550" w:type="dxa"/>
            <w:vAlign w:val="center"/>
          </w:tcPr>
          <w:p>
            <w:pPr>
              <w:jc w:val="center"/>
              <w:rPr>
                <w:rFonts w:ascii="宋体" w:hAnsi="宋体"/>
                <w:b/>
                <w:color w:val="000000"/>
                <w:highlight w:val="none"/>
              </w:rPr>
            </w:pPr>
            <w:r>
              <w:rPr>
                <w:rFonts w:hint="eastAsia" w:ascii="宋体" w:hAnsi="宋体"/>
                <w:b/>
                <w:color w:val="00000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45" w:type="dxa"/>
            <w:vMerge w:val="restart"/>
            <w:vAlign w:val="center"/>
          </w:tcPr>
          <w:p>
            <w:pPr>
              <w:jc w:val="center"/>
              <w:rPr>
                <w:rFonts w:ascii="宋体" w:hAnsi="宋体"/>
                <w:color w:val="000000"/>
                <w:highlight w:val="none"/>
              </w:rPr>
            </w:pPr>
            <w:r>
              <w:rPr>
                <w:rFonts w:hint="eastAsia" w:ascii="宋体" w:hAnsi="宋体"/>
                <w:color w:val="000000"/>
                <w:highlight w:val="none"/>
              </w:rPr>
              <w:t>1.1.1</w:t>
            </w:r>
          </w:p>
        </w:tc>
        <w:tc>
          <w:tcPr>
            <w:tcW w:w="1050" w:type="dxa"/>
            <w:vMerge w:val="restart"/>
            <w:vAlign w:val="center"/>
          </w:tcPr>
          <w:p>
            <w:pPr>
              <w:jc w:val="center"/>
              <w:rPr>
                <w:rFonts w:ascii="宋体" w:hAnsi="宋体"/>
                <w:color w:val="000000"/>
                <w:highlight w:val="none"/>
              </w:rPr>
            </w:pPr>
            <w:r>
              <w:rPr>
                <w:rFonts w:hint="eastAsia" w:ascii="宋体" w:hAnsi="宋体"/>
                <w:color w:val="000000"/>
                <w:highlight w:val="none"/>
              </w:rPr>
              <w:t>形式评审标准</w:t>
            </w: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比选响应人名称</w:t>
            </w:r>
          </w:p>
        </w:tc>
        <w:tc>
          <w:tcPr>
            <w:tcW w:w="5550" w:type="dxa"/>
            <w:vAlign w:val="center"/>
          </w:tcPr>
          <w:p>
            <w:pPr>
              <w:rPr>
                <w:rFonts w:ascii="宋体" w:hAnsi="宋体"/>
                <w:color w:val="000000"/>
                <w:highlight w:val="none"/>
              </w:rPr>
            </w:pPr>
            <w:r>
              <w:rPr>
                <w:rFonts w:hint="eastAsia" w:ascii="宋体" w:hAnsi="宋体"/>
                <w:color w:val="000000"/>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投标函签字盖章</w:t>
            </w:r>
          </w:p>
        </w:tc>
        <w:tc>
          <w:tcPr>
            <w:tcW w:w="5550" w:type="dxa"/>
            <w:vAlign w:val="center"/>
          </w:tcPr>
          <w:p>
            <w:pPr>
              <w:jc w:val="left"/>
              <w:rPr>
                <w:rFonts w:ascii="宋体" w:hAnsi="宋体"/>
                <w:color w:val="000000"/>
                <w:highlight w:val="none"/>
              </w:rPr>
            </w:pPr>
            <w:r>
              <w:rPr>
                <w:rFonts w:hint="eastAsia" w:ascii="宋体" w:hAnsi="宋体"/>
                <w:color w:val="000000"/>
                <w:highlight w:val="none"/>
              </w:rPr>
              <w:t>有法定代表人或其委托代理人签字、加盖单位鲜章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比选响应文件格式</w:t>
            </w:r>
          </w:p>
        </w:tc>
        <w:tc>
          <w:tcPr>
            <w:tcW w:w="5550" w:type="dxa"/>
            <w:vAlign w:val="center"/>
          </w:tcPr>
          <w:p>
            <w:pPr>
              <w:jc w:val="left"/>
              <w:rPr>
                <w:rFonts w:ascii="宋体" w:hAnsi="宋体"/>
                <w:color w:val="000000"/>
                <w:highlight w:val="none"/>
              </w:rPr>
            </w:pPr>
            <w:r>
              <w:rPr>
                <w:rFonts w:hint="eastAsia" w:ascii="宋体" w:hAnsi="宋体"/>
                <w:color w:val="000000"/>
                <w:highlight w:val="none"/>
              </w:rPr>
              <w:t>符合第六章“比选响应文件格式”的要求，字迹清晰可辨。</w:t>
            </w:r>
          </w:p>
          <w:p>
            <w:pPr>
              <w:jc w:val="left"/>
              <w:rPr>
                <w:rFonts w:ascii="宋体" w:hAnsi="宋体"/>
                <w:color w:val="000000"/>
                <w:kern w:val="0"/>
                <w:highlight w:val="none"/>
              </w:rPr>
            </w:pPr>
            <w:r>
              <w:rPr>
                <w:rFonts w:hint="eastAsia" w:ascii="宋体" w:hAnsi="宋体"/>
                <w:color w:val="000000"/>
                <w:kern w:val="0"/>
                <w:highlight w:val="none"/>
              </w:rPr>
              <w:t>1.投标函附录的所有数据均符合比选文件的规定；</w:t>
            </w:r>
          </w:p>
          <w:p>
            <w:pPr>
              <w:jc w:val="left"/>
              <w:rPr>
                <w:rFonts w:ascii="宋体" w:hAnsi="宋体"/>
                <w:color w:val="000000"/>
                <w:kern w:val="0"/>
                <w:highlight w:val="none"/>
              </w:rPr>
            </w:pPr>
            <w:r>
              <w:rPr>
                <w:rFonts w:hint="eastAsia" w:ascii="宋体" w:hAnsi="宋体"/>
                <w:color w:val="000000"/>
                <w:kern w:val="0"/>
                <w:highlight w:val="none"/>
              </w:rPr>
              <w:t>2.比选响应文件附表齐全完整，内容均按规定填写；</w:t>
            </w:r>
          </w:p>
          <w:p>
            <w:pPr>
              <w:jc w:val="left"/>
              <w:rPr>
                <w:rFonts w:ascii="宋体" w:hAnsi="宋体"/>
                <w:color w:val="000000"/>
                <w:kern w:val="0"/>
                <w:highlight w:val="none"/>
              </w:rPr>
            </w:pPr>
            <w:r>
              <w:rPr>
                <w:rFonts w:hint="eastAsia" w:ascii="宋体" w:hAnsi="宋体"/>
                <w:color w:val="000000"/>
                <w:kern w:val="0"/>
                <w:highlight w:val="none"/>
              </w:rPr>
              <w:t>3.按规定提供了拟投入的主要人员的证件复印件，证件清晰可辨、有效；</w:t>
            </w:r>
          </w:p>
          <w:p>
            <w:pPr>
              <w:jc w:val="left"/>
              <w:rPr>
                <w:rFonts w:ascii="宋体" w:hAnsi="宋体"/>
                <w:color w:val="000000"/>
                <w:highlight w:val="none"/>
              </w:rPr>
            </w:pPr>
            <w:r>
              <w:rPr>
                <w:rFonts w:hint="eastAsia" w:ascii="宋体" w:hAnsi="宋体"/>
                <w:color w:val="000000"/>
                <w:kern w:val="0"/>
                <w:highlight w:val="none"/>
              </w:rPr>
              <w:t>4.比选响应文件的份数符合第三章“比选响应人须知前附表”3.7.2项的规定。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报价唯一</w:t>
            </w:r>
          </w:p>
        </w:tc>
        <w:tc>
          <w:tcPr>
            <w:tcW w:w="5550" w:type="dxa"/>
            <w:vAlign w:val="center"/>
          </w:tcPr>
          <w:p>
            <w:pPr>
              <w:jc w:val="left"/>
              <w:rPr>
                <w:rFonts w:ascii="宋体" w:hAnsi="宋体"/>
                <w:color w:val="000000"/>
                <w:highlight w:val="none"/>
              </w:rPr>
            </w:pPr>
            <w:r>
              <w:rPr>
                <w:rFonts w:hint="eastAsia" w:ascii="宋体" w:hAnsi="宋体"/>
                <w:color w:val="000000"/>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比选响应文件的签署</w:t>
            </w:r>
          </w:p>
        </w:tc>
        <w:tc>
          <w:tcPr>
            <w:tcW w:w="5550" w:type="dxa"/>
            <w:vAlign w:val="center"/>
          </w:tcPr>
          <w:p>
            <w:pPr>
              <w:rPr>
                <w:rFonts w:ascii="宋体" w:hAnsi="宋体"/>
                <w:color w:val="000000"/>
                <w:spacing w:val="-6"/>
                <w:highlight w:val="none"/>
              </w:rPr>
            </w:pPr>
            <w:r>
              <w:rPr>
                <w:rFonts w:hint="eastAsia" w:ascii="宋体" w:hAnsi="宋体"/>
                <w:color w:val="000000"/>
                <w:spacing w:val="-6"/>
                <w:highlight w:val="none"/>
              </w:rPr>
              <w:t>比选响应文件的签字齐全,符合比选文件的要求。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委托代理人</w:t>
            </w:r>
          </w:p>
        </w:tc>
        <w:tc>
          <w:tcPr>
            <w:tcW w:w="5550" w:type="dxa"/>
            <w:vAlign w:val="center"/>
          </w:tcPr>
          <w:p>
            <w:pPr>
              <w:jc w:val="left"/>
              <w:rPr>
                <w:rFonts w:ascii="宋体" w:hAnsi="宋体"/>
                <w:color w:val="000000"/>
                <w:highlight w:val="none"/>
              </w:rPr>
            </w:pPr>
            <w:r>
              <w:rPr>
                <w:rFonts w:hint="eastAsia" w:ascii="宋体" w:hAnsi="宋体"/>
                <w:color w:val="000000"/>
                <w:highlight w:val="none"/>
              </w:rPr>
              <w:t>比选响应人法定代表人的委托代理人有法定代表人签署的授权委托书，且其授权委托书符合比选文件规定的格式。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5" w:type="dxa"/>
            <w:vMerge w:val="restart"/>
            <w:vAlign w:val="center"/>
          </w:tcPr>
          <w:p>
            <w:pPr>
              <w:jc w:val="center"/>
              <w:rPr>
                <w:rFonts w:ascii="宋体" w:hAnsi="宋体"/>
                <w:color w:val="000000"/>
                <w:highlight w:val="none"/>
              </w:rPr>
            </w:pPr>
            <w:r>
              <w:rPr>
                <w:rFonts w:hint="eastAsia" w:ascii="宋体" w:hAnsi="宋体"/>
                <w:color w:val="000000"/>
                <w:highlight w:val="none"/>
              </w:rPr>
              <w:t>1.1.2</w:t>
            </w:r>
          </w:p>
        </w:tc>
        <w:tc>
          <w:tcPr>
            <w:tcW w:w="1050" w:type="dxa"/>
            <w:vMerge w:val="restart"/>
            <w:vAlign w:val="center"/>
          </w:tcPr>
          <w:p>
            <w:pPr>
              <w:jc w:val="center"/>
              <w:rPr>
                <w:rFonts w:ascii="宋体" w:hAnsi="宋体"/>
                <w:color w:val="000000"/>
                <w:highlight w:val="none"/>
              </w:rPr>
            </w:pPr>
            <w:r>
              <w:rPr>
                <w:rFonts w:hint="eastAsia" w:ascii="宋体" w:hAnsi="宋体"/>
                <w:color w:val="000000"/>
                <w:highlight w:val="none"/>
              </w:rPr>
              <w:t>资格评审标准</w:t>
            </w:r>
          </w:p>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营业执照</w:t>
            </w:r>
          </w:p>
        </w:tc>
        <w:tc>
          <w:tcPr>
            <w:tcW w:w="5550" w:type="dxa"/>
            <w:vAlign w:val="center"/>
          </w:tcPr>
          <w:p>
            <w:pPr>
              <w:jc w:val="cente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hint="eastAsia" w:ascii="宋体" w:hAnsi="宋体" w:eastAsiaTheme="minorEastAsia"/>
                <w:color w:val="000000"/>
                <w:highlight w:val="none"/>
                <w:lang w:eastAsia="zh-CN"/>
              </w:rPr>
            </w:pPr>
            <w:r>
              <w:rPr>
                <w:rFonts w:hint="eastAsia" w:ascii="宋体" w:hAnsi="宋体"/>
                <w:color w:val="000000"/>
                <w:highlight w:val="none"/>
              </w:rPr>
              <w:t>资质</w:t>
            </w:r>
            <w:r>
              <w:rPr>
                <w:rFonts w:hint="eastAsia" w:ascii="宋体" w:hAnsi="宋体"/>
                <w:color w:val="000000"/>
                <w:highlight w:val="none"/>
                <w:lang w:eastAsia="zh-CN"/>
              </w:rPr>
              <w:t>条件</w:t>
            </w:r>
          </w:p>
        </w:tc>
        <w:tc>
          <w:tcPr>
            <w:tcW w:w="5550" w:type="dxa"/>
            <w:vAlign w:val="center"/>
          </w:tcPr>
          <w:p>
            <w:pPr>
              <w:jc w:val="cente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5" w:type="dxa"/>
            <w:vMerge w:val="restart"/>
            <w:vAlign w:val="center"/>
          </w:tcPr>
          <w:p>
            <w:pPr>
              <w:jc w:val="center"/>
              <w:rPr>
                <w:rFonts w:hint="eastAsia" w:ascii="宋体" w:hAnsi="宋体"/>
                <w:color w:val="000000"/>
                <w:highlight w:val="none"/>
              </w:rPr>
            </w:pPr>
            <w:r>
              <w:rPr>
                <w:rFonts w:hint="eastAsia" w:ascii="宋体" w:hAnsi="宋体"/>
                <w:color w:val="000000"/>
                <w:highlight w:val="none"/>
              </w:rPr>
              <w:t>1.1.3</w:t>
            </w:r>
          </w:p>
          <w:p>
            <w:pPr>
              <w:jc w:val="center"/>
              <w:rPr>
                <w:rFonts w:ascii="宋体" w:hAnsi="宋体"/>
                <w:color w:val="000000"/>
                <w:highlight w:val="none"/>
              </w:rPr>
            </w:pPr>
          </w:p>
        </w:tc>
        <w:tc>
          <w:tcPr>
            <w:tcW w:w="1050" w:type="dxa"/>
            <w:vMerge w:val="restart"/>
            <w:vAlign w:val="center"/>
          </w:tcPr>
          <w:p>
            <w:pPr>
              <w:jc w:val="center"/>
              <w:rPr>
                <w:rFonts w:hint="eastAsia" w:ascii="宋体" w:hAnsi="宋体"/>
                <w:color w:val="000000"/>
                <w:highlight w:val="none"/>
              </w:rPr>
            </w:pPr>
            <w:r>
              <w:rPr>
                <w:rFonts w:hint="eastAsia" w:ascii="宋体" w:hAnsi="宋体"/>
                <w:color w:val="000000"/>
                <w:highlight w:val="none"/>
              </w:rPr>
              <w:t>响应性评审标准</w:t>
            </w:r>
          </w:p>
          <w:p>
            <w:pPr>
              <w:jc w:val="center"/>
              <w:rPr>
                <w:rFonts w:hint="eastAsia" w:ascii="宋体" w:hAnsi="宋体" w:eastAsiaTheme="minorEastAsia"/>
                <w:color w:val="000000"/>
                <w:highlight w:val="none"/>
                <w:lang w:eastAsia="zh-CN"/>
              </w:rPr>
            </w:pPr>
            <w:r>
              <w:rPr>
                <w:rFonts w:hint="eastAsia" w:ascii="宋体" w:hAnsi="宋体"/>
                <w:color w:val="000000"/>
                <w:highlight w:val="none"/>
                <w:lang w:val="en-US" w:eastAsia="zh-CN"/>
              </w:rPr>
              <w:t xml:space="preserve"> </w:t>
            </w:r>
          </w:p>
        </w:tc>
        <w:tc>
          <w:tcPr>
            <w:tcW w:w="2080" w:type="dxa"/>
            <w:vAlign w:val="center"/>
          </w:tcPr>
          <w:p>
            <w:pPr>
              <w:jc w:val="center"/>
              <w:rPr>
                <w:rFonts w:hint="eastAsia" w:ascii="宋体" w:hAnsi="宋体" w:eastAsiaTheme="minorEastAsia"/>
                <w:color w:val="000000"/>
                <w:highlight w:val="none"/>
                <w:lang w:eastAsia="zh-CN"/>
              </w:rPr>
            </w:pPr>
            <w:r>
              <w:rPr>
                <w:rFonts w:hint="eastAsia" w:ascii="宋体" w:hAnsi="宋体"/>
                <w:color w:val="000000"/>
                <w:highlight w:val="none"/>
                <w:lang w:eastAsia="zh-CN"/>
              </w:rPr>
              <w:t>采购范围</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服务期限</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投标有效期</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投标保证金</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权利义务</w:t>
            </w:r>
          </w:p>
        </w:tc>
        <w:tc>
          <w:tcPr>
            <w:tcW w:w="5550" w:type="dxa"/>
            <w:vAlign w:val="center"/>
          </w:tcPr>
          <w:p>
            <w:pPr>
              <w:rPr>
                <w:rFonts w:ascii="宋体" w:hAnsi="宋体"/>
                <w:color w:val="000000"/>
                <w:highlight w:val="none"/>
              </w:rPr>
            </w:pPr>
            <w:r>
              <w:rPr>
                <w:rFonts w:hint="eastAsia" w:ascii="宋体" w:hAnsi="宋体"/>
                <w:color w:val="000000"/>
                <w:highlight w:val="none"/>
              </w:rPr>
              <w:t>符合第五章“合同条款及格式”规定，比选响应文件不应附有采购人不能接受的条件。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投标报价</w:t>
            </w:r>
          </w:p>
        </w:tc>
        <w:tc>
          <w:tcPr>
            <w:tcW w:w="5550" w:type="dxa"/>
            <w:vAlign w:val="center"/>
          </w:tcPr>
          <w:p>
            <w:pPr>
              <w:rPr>
                <w:rFonts w:ascii="宋体" w:hAnsi="宋体"/>
                <w:color w:val="000000"/>
                <w:highlight w:val="none"/>
              </w:rPr>
            </w:pPr>
            <w:r>
              <w:rPr>
                <w:rFonts w:hint="eastAsia" w:ascii="宋体" w:hAnsi="宋体" w:cs="宋体"/>
                <w:color w:val="000000"/>
                <w:kern w:val="0"/>
                <w:highlight w:val="none"/>
              </w:rPr>
              <w:t>投标报价不得超出最高限价，否则按废标处理</w:t>
            </w:r>
            <w:r>
              <w:rPr>
                <w:rFonts w:hint="eastAsia"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实质性要求</w:t>
            </w:r>
          </w:p>
        </w:tc>
        <w:tc>
          <w:tcPr>
            <w:tcW w:w="5550" w:type="dxa"/>
            <w:vAlign w:val="center"/>
          </w:tcPr>
          <w:p>
            <w:pPr>
              <w:rPr>
                <w:rFonts w:ascii="宋体" w:hAnsi="宋体"/>
                <w:color w:val="000000"/>
                <w:highlight w:val="none"/>
              </w:rPr>
            </w:pPr>
            <w:r>
              <w:rPr>
                <w:rFonts w:hint="eastAsia" w:ascii="宋体" w:hAnsi="宋体"/>
                <w:color w:val="000000"/>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45" w:type="dxa"/>
            <w:vAlign w:val="center"/>
          </w:tcPr>
          <w:p>
            <w:pPr>
              <w:jc w:val="center"/>
              <w:rPr>
                <w:rFonts w:ascii="宋体" w:hAnsi="宋体"/>
                <w:color w:val="000000"/>
                <w:kern w:val="0"/>
                <w:highlight w:val="none"/>
              </w:rPr>
            </w:pPr>
            <w:r>
              <w:rPr>
                <w:rFonts w:hint="eastAsia" w:ascii="宋体" w:hAnsi="宋体"/>
                <w:color w:val="000000"/>
                <w:highlight w:val="none"/>
              </w:rPr>
              <w:t>2</w:t>
            </w:r>
          </w:p>
        </w:tc>
        <w:tc>
          <w:tcPr>
            <w:tcW w:w="1050" w:type="dxa"/>
            <w:vAlign w:val="center"/>
          </w:tcPr>
          <w:p>
            <w:pPr>
              <w:rPr>
                <w:rFonts w:ascii="宋体" w:hAnsi="宋体"/>
                <w:color w:val="000000"/>
                <w:kern w:val="0"/>
                <w:highlight w:val="none"/>
              </w:rPr>
            </w:pPr>
            <w:r>
              <w:rPr>
                <w:rFonts w:hint="eastAsia" w:ascii="宋体" w:hAnsi="宋体"/>
                <w:color w:val="000000"/>
                <w:highlight w:val="none"/>
              </w:rPr>
              <w:t>评选程序</w:t>
            </w:r>
          </w:p>
        </w:tc>
        <w:tc>
          <w:tcPr>
            <w:tcW w:w="7630" w:type="dxa"/>
            <w:gridSpan w:val="2"/>
          </w:tcPr>
          <w:p>
            <w:pPr>
              <w:rPr>
                <w:rFonts w:ascii="宋体" w:hAnsi="宋体"/>
                <w:color w:val="000000"/>
                <w:highlight w:val="none"/>
              </w:rPr>
            </w:pPr>
            <w:r>
              <w:rPr>
                <w:rFonts w:hint="eastAsia" w:ascii="宋体" w:hAnsi="宋体"/>
                <w:color w:val="000000"/>
                <w:highlight w:val="none"/>
              </w:rPr>
              <w:t>1.按照评选办法前附表1.1.1至1.1.3的规定对所有比选响应文件进行初步评审，只有通过初步评审的比选响应文件才能进行后续评审。</w:t>
            </w:r>
          </w:p>
          <w:p>
            <w:pPr>
              <w:rPr>
                <w:rFonts w:ascii="宋体" w:hAnsi="宋体"/>
                <w:color w:val="000000"/>
                <w:highlight w:val="none"/>
              </w:rPr>
            </w:pPr>
            <w:r>
              <w:rPr>
                <w:rFonts w:hint="eastAsia" w:ascii="宋体" w:hAnsi="宋体"/>
                <w:color w:val="000000"/>
                <w:highlight w:val="none"/>
              </w:rPr>
              <w:t>2.按有效最低价法进行评审，前三名的比选响应人为中选候选人，报评选领导小组审定，评选领导小组按规定确定成交人。采购人对中选结果不作解释。</w:t>
            </w:r>
          </w:p>
          <w:p>
            <w:pPr>
              <w:rPr>
                <w:rFonts w:ascii="宋体" w:hAnsi="宋体"/>
                <w:color w:val="000000"/>
                <w:highlight w:val="none"/>
              </w:rPr>
            </w:pPr>
            <w:r>
              <w:rPr>
                <w:rFonts w:hint="eastAsia" w:ascii="宋体" w:hAnsi="宋体"/>
                <w:color w:val="000000"/>
                <w:highlight w:val="none"/>
              </w:rPr>
              <w:t>3.如经过对所有比选响应人的比选响应文件进行评审，有效投标不足三个使得投标明显缺乏竞争的，评选委员会可以否决全部投标。</w:t>
            </w:r>
          </w:p>
        </w:tc>
      </w:tr>
    </w:tbl>
    <w:p>
      <w:pPr>
        <w:pStyle w:val="4"/>
        <w:ind w:firstLine="643"/>
        <w:jc w:val="center"/>
        <w:rPr>
          <w:rFonts w:ascii="宋体" w:hAnsi="宋体"/>
          <w:highlight w:val="none"/>
        </w:rPr>
      </w:pPr>
      <w:r>
        <w:rPr>
          <w:highlight w:val="none"/>
        </w:rPr>
        <w:br w:type="page"/>
      </w:r>
      <w:bookmarkStart w:id="210" w:name="_Toc4964986"/>
      <w:bookmarkStart w:id="211" w:name="_Toc20289"/>
      <w:bookmarkStart w:id="212" w:name="_Toc9456"/>
      <w:bookmarkStart w:id="213" w:name="_Toc459888247"/>
      <w:bookmarkStart w:id="214" w:name="_Toc28849"/>
      <w:bookmarkStart w:id="215" w:name="_Toc325034238"/>
      <w:r>
        <w:rPr>
          <w:rFonts w:hint="eastAsia" w:ascii="宋体" w:hAnsi="宋体"/>
          <w:highlight w:val="none"/>
        </w:rPr>
        <w:t>二、评选办法</w:t>
      </w:r>
      <w:bookmarkEnd w:id="210"/>
      <w:bookmarkEnd w:id="211"/>
      <w:bookmarkEnd w:id="212"/>
      <w:bookmarkEnd w:id="213"/>
      <w:bookmarkEnd w:id="214"/>
    </w:p>
    <w:p>
      <w:pPr>
        <w:pStyle w:val="4"/>
        <w:spacing w:line="240" w:lineRule="auto"/>
        <w:ind w:firstLine="472" w:firstLineChars="147"/>
        <w:rPr>
          <w:szCs w:val="24"/>
          <w:highlight w:val="none"/>
        </w:rPr>
      </w:pPr>
      <w:bookmarkStart w:id="216" w:name="_Toc4613"/>
      <w:bookmarkStart w:id="217" w:name="_Toc459888248"/>
      <w:bookmarkStart w:id="218" w:name="_Toc11319"/>
      <w:r>
        <w:rPr>
          <w:rFonts w:hint="eastAsia"/>
          <w:szCs w:val="24"/>
          <w:highlight w:val="none"/>
        </w:rPr>
        <w:t>1、评选</w:t>
      </w:r>
      <w:r>
        <w:rPr>
          <w:rFonts w:hint="eastAsia" w:asciiTheme="majorEastAsia" w:hAnsiTheme="majorEastAsia" w:eastAsiaTheme="majorEastAsia"/>
          <w:color w:val="auto"/>
          <w:highlight w:val="none"/>
        </w:rPr>
        <w:t>方法</w:t>
      </w:r>
      <w:bookmarkEnd w:id="215"/>
      <w:bookmarkEnd w:id="216"/>
      <w:bookmarkEnd w:id="217"/>
      <w:bookmarkEnd w:id="218"/>
    </w:p>
    <w:p>
      <w:pPr>
        <w:ind w:firstLine="482"/>
        <w:rPr>
          <w:rFonts w:asciiTheme="minorEastAsia" w:hAnsiTheme="minorEastAsia"/>
          <w:highlight w:val="none"/>
        </w:rPr>
      </w:pPr>
      <w:r>
        <w:rPr>
          <w:rFonts w:hint="eastAsia" w:asciiTheme="minorEastAsia" w:hAnsiTheme="minorEastAsia"/>
          <w:highlight w:val="none"/>
        </w:rPr>
        <w:t>本次评选采用有效最低价法。评选委员会对满足比选文件实质性要求的比选响应文件，推荐3名中选候选人。</w:t>
      </w:r>
    </w:p>
    <w:p>
      <w:pPr>
        <w:pStyle w:val="4"/>
        <w:spacing w:line="240" w:lineRule="auto"/>
        <w:ind w:firstLine="472" w:firstLineChars="147"/>
        <w:rPr>
          <w:szCs w:val="24"/>
          <w:highlight w:val="none"/>
        </w:rPr>
      </w:pPr>
      <w:bookmarkStart w:id="219" w:name="_Toc459888249"/>
      <w:bookmarkStart w:id="220" w:name="_Toc27996"/>
      <w:bookmarkStart w:id="221" w:name="_Toc325034239"/>
      <w:bookmarkStart w:id="222" w:name="_Toc25890"/>
      <w:bookmarkStart w:id="223" w:name="_Toc22060"/>
      <w:bookmarkStart w:id="224" w:name="_Toc4964987"/>
      <w:bookmarkStart w:id="225" w:name="_Toc18142"/>
      <w:r>
        <w:rPr>
          <w:rFonts w:hint="eastAsia"/>
          <w:szCs w:val="24"/>
          <w:highlight w:val="none"/>
        </w:rPr>
        <w:t>2、评审标准</w:t>
      </w:r>
      <w:bookmarkEnd w:id="219"/>
      <w:bookmarkEnd w:id="220"/>
      <w:bookmarkEnd w:id="221"/>
      <w:bookmarkEnd w:id="222"/>
      <w:bookmarkEnd w:id="223"/>
      <w:bookmarkEnd w:id="224"/>
      <w:bookmarkEnd w:id="225"/>
    </w:p>
    <w:p>
      <w:pPr>
        <w:ind w:firstLine="482"/>
        <w:rPr>
          <w:rFonts w:asciiTheme="minorEastAsia" w:hAnsiTheme="minorEastAsia"/>
          <w:highlight w:val="none"/>
        </w:rPr>
      </w:pPr>
      <w:r>
        <w:rPr>
          <w:rFonts w:hint="eastAsia" w:asciiTheme="minorEastAsia" w:hAnsiTheme="minorEastAsia"/>
          <w:highlight w:val="none"/>
        </w:rPr>
        <w:t>2.1 初步评审标准</w:t>
      </w:r>
    </w:p>
    <w:p>
      <w:pPr>
        <w:ind w:firstLine="482"/>
        <w:rPr>
          <w:rFonts w:asciiTheme="minorEastAsia" w:hAnsiTheme="minorEastAsia"/>
          <w:highlight w:val="none"/>
        </w:rPr>
      </w:pPr>
      <w:r>
        <w:rPr>
          <w:rFonts w:hint="eastAsia" w:asciiTheme="minorEastAsia" w:hAnsiTheme="minorEastAsia"/>
          <w:highlight w:val="none"/>
        </w:rPr>
        <w:t>2.1.1 形式评审标准：见评选办法前附表。</w:t>
      </w:r>
    </w:p>
    <w:p>
      <w:pPr>
        <w:ind w:firstLine="482"/>
        <w:rPr>
          <w:rFonts w:asciiTheme="minorEastAsia" w:hAnsiTheme="minorEastAsia"/>
          <w:highlight w:val="none"/>
        </w:rPr>
      </w:pPr>
      <w:r>
        <w:rPr>
          <w:rFonts w:hint="eastAsia" w:asciiTheme="minorEastAsia" w:hAnsiTheme="minorEastAsia"/>
          <w:highlight w:val="none"/>
        </w:rPr>
        <w:t>2.1.2 资格评审标准：见评选办法前附表。</w:t>
      </w:r>
    </w:p>
    <w:p>
      <w:pPr>
        <w:ind w:firstLine="482"/>
        <w:rPr>
          <w:rFonts w:asciiTheme="minorEastAsia" w:hAnsiTheme="minorEastAsia"/>
          <w:highlight w:val="none"/>
        </w:rPr>
      </w:pPr>
      <w:r>
        <w:rPr>
          <w:rFonts w:hint="eastAsia" w:asciiTheme="minorEastAsia" w:hAnsiTheme="minorEastAsia"/>
          <w:highlight w:val="none"/>
        </w:rPr>
        <w:t>2.1.3 响应性评审标准：见评选办法前附表。</w:t>
      </w:r>
    </w:p>
    <w:p>
      <w:pPr>
        <w:pStyle w:val="4"/>
        <w:spacing w:line="240" w:lineRule="auto"/>
        <w:ind w:firstLine="472" w:firstLineChars="147"/>
        <w:rPr>
          <w:szCs w:val="24"/>
          <w:highlight w:val="none"/>
        </w:rPr>
      </w:pPr>
      <w:bookmarkStart w:id="226" w:name="_Toc4964988"/>
      <w:bookmarkStart w:id="227" w:name="_Toc459888250"/>
      <w:bookmarkStart w:id="228" w:name="_Toc6500"/>
      <w:bookmarkStart w:id="229" w:name="_Toc16433"/>
      <w:bookmarkStart w:id="230" w:name="_Toc9745"/>
      <w:bookmarkStart w:id="231" w:name="_Toc325034240"/>
      <w:bookmarkStart w:id="232" w:name="_Toc1231"/>
      <w:r>
        <w:rPr>
          <w:rFonts w:hint="eastAsia"/>
          <w:szCs w:val="24"/>
          <w:highlight w:val="none"/>
        </w:rPr>
        <w:t>3、评选程序</w:t>
      </w:r>
      <w:bookmarkEnd w:id="226"/>
      <w:bookmarkEnd w:id="227"/>
      <w:bookmarkEnd w:id="228"/>
      <w:bookmarkEnd w:id="229"/>
      <w:bookmarkEnd w:id="230"/>
      <w:bookmarkEnd w:id="231"/>
      <w:bookmarkEnd w:id="232"/>
    </w:p>
    <w:p>
      <w:pPr>
        <w:ind w:firstLine="482"/>
        <w:rPr>
          <w:rFonts w:asciiTheme="minorEastAsia" w:hAnsiTheme="minorEastAsia"/>
          <w:highlight w:val="none"/>
        </w:rPr>
      </w:pPr>
      <w:r>
        <w:rPr>
          <w:rFonts w:hint="eastAsia" w:asciiTheme="minorEastAsia" w:hAnsiTheme="minorEastAsia"/>
          <w:highlight w:val="none"/>
        </w:rPr>
        <w:t>3.1 初步评审</w:t>
      </w:r>
    </w:p>
    <w:p>
      <w:pPr>
        <w:ind w:firstLine="482"/>
        <w:rPr>
          <w:rFonts w:asciiTheme="minorEastAsia" w:hAnsiTheme="minorEastAsia"/>
          <w:highlight w:val="none"/>
        </w:rPr>
      </w:pPr>
      <w:r>
        <w:rPr>
          <w:rFonts w:hint="eastAsia" w:asciiTheme="minorEastAsia" w:hAnsiTheme="minorEastAsia"/>
          <w:highlight w:val="none"/>
        </w:rPr>
        <w:t>3.1.1 评选委员会可以要求比选响应人提交第三章“比选响应人须知前附表”第1.4.1 项规定的有关证明和证件的原件，以便核验。评选委员会依据本章第2.1 款规定的标准对比选响应文件进行初步评审。有一项不符合评审标准的，作废标处理。</w:t>
      </w:r>
    </w:p>
    <w:p>
      <w:pPr>
        <w:ind w:firstLine="482"/>
        <w:rPr>
          <w:rFonts w:asciiTheme="minorEastAsia" w:hAnsiTheme="minorEastAsia"/>
          <w:highlight w:val="none"/>
        </w:rPr>
      </w:pPr>
      <w:r>
        <w:rPr>
          <w:rFonts w:hint="eastAsia" w:asciiTheme="minorEastAsia" w:hAnsiTheme="minorEastAsia"/>
          <w:highlight w:val="none"/>
        </w:rPr>
        <w:t>3.1.2 比选响应人有以下情形之一的，其投标作废标处理：</w:t>
      </w:r>
    </w:p>
    <w:p>
      <w:pPr>
        <w:ind w:firstLine="482"/>
        <w:rPr>
          <w:rFonts w:asciiTheme="minorEastAsia" w:hAnsiTheme="minorEastAsia"/>
          <w:highlight w:val="none"/>
        </w:rPr>
      </w:pPr>
      <w:r>
        <w:rPr>
          <w:rFonts w:hint="eastAsia" w:asciiTheme="minorEastAsia" w:hAnsiTheme="minorEastAsia"/>
          <w:highlight w:val="none"/>
        </w:rPr>
        <w:t>(l）第三章“比选响应人须知”第1.4.2 项规定的任何一种情形的；</w:t>
      </w:r>
    </w:p>
    <w:p>
      <w:pPr>
        <w:ind w:firstLine="482"/>
        <w:rPr>
          <w:rFonts w:asciiTheme="minorEastAsia" w:hAnsiTheme="minorEastAsia"/>
          <w:highlight w:val="none"/>
        </w:rPr>
      </w:pPr>
      <w:r>
        <w:rPr>
          <w:rFonts w:hint="eastAsia" w:asciiTheme="minorEastAsia" w:hAnsiTheme="minorEastAsia"/>
          <w:highlight w:val="none"/>
        </w:rPr>
        <w:t>(2）串通投标或弄虚作假或有其他违法行为的；</w:t>
      </w:r>
    </w:p>
    <w:p>
      <w:pPr>
        <w:ind w:firstLine="482"/>
        <w:rPr>
          <w:rFonts w:asciiTheme="minorEastAsia" w:hAnsiTheme="minorEastAsia"/>
          <w:highlight w:val="none"/>
        </w:rPr>
      </w:pPr>
      <w:r>
        <w:rPr>
          <w:rFonts w:hint="eastAsia" w:asciiTheme="minorEastAsia" w:hAnsiTheme="minorEastAsia"/>
          <w:highlight w:val="none"/>
        </w:rPr>
        <w:t>(3）不按评选委员会要求澄清、说明或补正的。</w:t>
      </w:r>
    </w:p>
    <w:p>
      <w:pPr>
        <w:ind w:firstLine="482"/>
        <w:rPr>
          <w:rFonts w:asciiTheme="minorEastAsia" w:hAnsiTheme="minorEastAsia"/>
          <w:highlight w:val="none"/>
        </w:rPr>
      </w:pPr>
      <w:r>
        <w:rPr>
          <w:rFonts w:hint="eastAsia" w:asciiTheme="minorEastAsia" w:hAnsiTheme="minorEastAsia"/>
          <w:highlight w:val="none"/>
        </w:rPr>
        <w:t>3.1.3 投标报价有算术错误的，评选委员会按以下原则对投标报价进行修正，修正的价格经比选响应人书面确认后具有约束力。比选响应人不接受修正价格的，其投标作废标处理。</w:t>
      </w:r>
    </w:p>
    <w:p>
      <w:pPr>
        <w:ind w:firstLine="482"/>
        <w:rPr>
          <w:rFonts w:asciiTheme="minorEastAsia" w:hAnsiTheme="minorEastAsia"/>
          <w:highlight w:val="none"/>
        </w:rPr>
      </w:pPr>
      <w:r>
        <w:rPr>
          <w:rFonts w:hint="eastAsia" w:asciiTheme="minorEastAsia" w:hAnsiTheme="minorEastAsia"/>
          <w:highlight w:val="none"/>
        </w:rPr>
        <w:t>(1）比选响应文件中的大写金额与小写金额不一致的，以大写金额为准；</w:t>
      </w:r>
    </w:p>
    <w:p>
      <w:pPr>
        <w:ind w:firstLine="482"/>
        <w:rPr>
          <w:rFonts w:asciiTheme="minorEastAsia" w:hAnsiTheme="minorEastAsia"/>
          <w:highlight w:val="none"/>
        </w:rPr>
      </w:pPr>
      <w:r>
        <w:rPr>
          <w:rFonts w:hint="eastAsia" w:asciiTheme="minorEastAsia" w:hAnsiTheme="minorEastAsia"/>
          <w:highlight w:val="none"/>
        </w:rPr>
        <w:t>(2）总价金额与依据单价计算出的结果不一致的，以单价金额为准修正总价，但单价金额小数点有明显错误的除外。</w:t>
      </w:r>
    </w:p>
    <w:p>
      <w:pPr>
        <w:ind w:firstLine="482"/>
        <w:rPr>
          <w:rFonts w:asciiTheme="minorEastAsia" w:hAnsiTheme="minorEastAsia"/>
          <w:highlight w:val="none"/>
        </w:rPr>
      </w:pPr>
      <w:r>
        <w:rPr>
          <w:rFonts w:hint="eastAsia" w:asciiTheme="minorEastAsia" w:hAnsiTheme="minorEastAsia"/>
          <w:highlight w:val="none"/>
        </w:rPr>
        <w:t>3.2 详细评审</w:t>
      </w:r>
    </w:p>
    <w:p>
      <w:pPr>
        <w:ind w:firstLine="482"/>
        <w:rPr>
          <w:rFonts w:asciiTheme="minorEastAsia" w:hAnsiTheme="minorEastAsia"/>
          <w:highlight w:val="none"/>
        </w:rPr>
      </w:pPr>
      <w:r>
        <w:rPr>
          <w:rFonts w:hint="eastAsia" w:asciiTheme="minorEastAsia" w:hAnsiTheme="minorEastAsia"/>
          <w:highlight w:val="none"/>
        </w:rPr>
        <w:t>3.2.1评选委员会按评选办法前附表规定用有效最低价法进行评审。</w:t>
      </w:r>
    </w:p>
    <w:p>
      <w:pPr>
        <w:ind w:firstLine="482"/>
        <w:rPr>
          <w:rFonts w:asciiTheme="minorEastAsia" w:hAnsiTheme="minorEastAsia"/>
          <w:highlight w:val="none"/>
        </w:rPr>
      </w:pPr>
      <w:r>
        <w:rPr>
          <w:rFonts w:hint="eastAsia" w:asciiTheme="minorEastAsia" w:hAnsiTheme="minorEastAsia"/>
          <w:highlight w:val="none"/>
        </w:rPr>
        <w:t>3.2.3评选委员会发现比选响应人的报价明显低于其他投标报价，或者在设有标底时明显低于标底，使得其投标报价可能低于其个别成本的，应当要求该比选响应人作出书面说明并提供相应的证明材料。比选响应人不能合理说明或者不能提供相应证明材料的，由评选委员会认定该比选响应人以低于成本报价竞标，其投标作废标处理。</w:t>
      </w:r>
    </w:p>
    <w:p>
      <w:pPr>
        <w:ind w:firstLine="482"/>
        <w:rPr>
          <w:rFonts w:asciiTheme="minorEastAsia" w:hAnsiTheme="minorEastAsia"/>
          <w:highlight w:val="none"/>
        </w:rPr>
      </w:pPr>
      <w:r>
        <w:rPr>
          <w:rFonts w:hint="eastAsia" w:asciiTheme="minorEastAsia" w:hAnsiTheme="minorEastAsia"/>
          <w:highlight w:val="none"/>
        </w:rPr>
        <w:t>3.3 比选响应文件的澄清和补正</w:t>
      </w:r>
    </w:p>
    <w:p>
      <w:pPr>
        <w:ind w:firstLine="482"/>
        <w:rPr>
          <w:rFonts w:asciiTheme="minorEastAsia" w:hAnsiTheme="minorEastAsia"/>
          <w:highlight w:val="none"/>
        </w:rPr>
      </w:pPr>
      <w:r>
        <w:rPr>
          <w:rFonts w:hint="eastAsia" w:asciiTheme="minorEastAsia" w:hAnsiTheme="minorEastAsia"/>
          <w:highlight w:val="none"/>
        </w:rPr>
        <w:t>3.3.1 在评选过程中，评选委员会可以书面形式要求比选响应人对所提交比选响应文件中不明确的内容进行书面澄清或说明，或者对细微偏差进行补正。评选委员会不接受比选响应人主动提出的澄清、说明或补正。</w:t>
      </w:r>
    </w:p>
    <w:p>
      <w:pPr>
        <w:ind w:firstLine="482"/>
        <w:rPr>
          <w:rFonts w:asciiTheme="minorEastAsia" w:hAnsiTheme="minorEastAsia"/>
          <w:highlight w:val="none"/>
        </w:rPr>
      </w:pPr>
      <w:r>
        <w:rPr>
          <w:rFonts w:hint="eastAsia" w:asciiTheme="minorEastAsia" w:hAnsiTheme="minorEastAsia"/>
          <w:highlight w:val="none"/>
        </w:rPr>
        <w:t>3.3.2 澄清、说明和补正不得改变比选响应文件的实质性内容（算术性错误修正的除外）。比选响应人的书面澄清、说明和补正属于比选响应文件的组成部分。</w:t>
      </w:r>
    </w:p>
    <w:p>
      <w:pPr>
        <w:ind w:firstLine="482"/>
        <w:rPr>
          <w:rFonts w:asciiTheme="minorEastAsia" w:hAnsiTheme="minorEastAsia"/>
          <w:highlight w:val="none"/>
        </w:rPr>
      </w:pPr>
      <w:r>
        <w:rPr>
          <w:rFonts w:hint="eastAsia" w:asciiTheme="minorEastAsia" w:hAnsiTheme="minorEastAsia"/>
          <w:highlight w:val="none"/>
        </w:rPr>
        <w:t>3.3.3 评选委员会对比选响应人提交的澄清、说明或补正有疑问的，可以要求比选响应人进一步澄清、说明或补正，直至满足评选委员会的要求。</w:t>
      </w:r>
    </w:p>
    <w:p>
      <w:pPr>
        <w:ind w:firstLine="482"/>
        <w:rPr>
          <w:rFonts w:asciiTheme="minorEastAsia" w:hAnsiTheme="minorEastAsia"/>
          <w:highlight w:val="none"/>
        </w:rPr>
      </w:pPr>
      <w:r>
        <w:rPr>
          <w:rFonts w:hint="eastAsia" w:asciiTheme="minorEastAsia" w:hAnsiTheme="minorEastAsia"/>
          <w:highlight w:val="none"/>
        </w:rPr>
        <w:t>3.4 评选结果</w:t>
      </w:r>
    </w:p>
    <w:p>
      <w:pPr>
        <w:ind w:firstLine="482"/>
        <w:rPr>
          <w:rFonts w:asciiTheme="minorEastAsia" w:hAnsiTheme="minorEastAsia"/>
          <w:highlight w:val="none"/>
        </w:rPr>
      </w:pPr>
      <w:r>
        <w:rPr>
          <w:rFonts w:hint="eastAsia" w:asciiTheme="minorEastAsia" w:hAnsiTheme="minorEastAsia"/>
          <w:highlight w:val="none"/>
        </w:rPr>
        <w:t>3.4.1 除第三章“比选响应人须知前附表”授权直接确定成交人外，评选委员会按照有效报价低到高的顺序推荐3名中选候选人。</w:t>
      </w:r>
    </w:p>
    <w:p>
      <w:pPr>
        <w:ind w:firstLine="482"/>
        <w:rPr>
          <w:rFonts w:asciiTheme="minorEastAsia" w:hAnsiTheme="minorEastAsia"/>
          <w:highlight w:val="none"/>
        </w:rPr>
      </w:pPr>
      <w:r>
        <w:rPr>
          <w:rFonts w:hint="eastAsia" w:asciiTheme="minorEastAsia" w:hAnsiTheme="minorEastAsia"/>
          <w:highlight w:val="none"/>
        </w:rPr>
        <w:t>3.4.2 评选委员会完成评选后，应当向采购人提交书面评选报告。</w:t>
      </w:r>
    </w:p>
    <w:p>
      <w:pPr>
        <w:pStyle w:val="3"/>
        <w:ind w:firstLine="883"/>
        <w:rPr>
          <w:highlight w:val="none"/>
        </w:rPr>
      </w:pPr>
    </w:p>
    <w:p>
      <w:pPr>
        <w:pStyle w:val="3"/>
        <w:ind w:firstLine="883"/>
        <w:rPr>
          <w:highlight w:val="none"/>
        </w:rPr>
      </w:pPr>
    </w:p>
    <w:p>
      <w:pPr>
        <w:pStyle w:val="3"/>
        <w:ind w:firstLine="883"/>
        <w:rPr>
          <w:highlight w:val="none"/>
        </w:rPr>
      </w:pPr>
    </w:p>
    <w:p>
      <w:pPr>
        <w:pStyle w:val="3"/>
        <w:ind w:firstLine="883"/>
        <w:rPr>
          <w:highlight w:val="none"/>
        </w:rPr>
      </w:pPr>
    </w:p>
    <w:p>
      <w:pPr>
        <w:pStyle w:val="3"/>
        <w:ind w:firstLine="88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pStyle w:val="3"/>
        <w:ind w:firstLine="0" w:firstLineChars="0"/>
        <w:jc w:val="both"/>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pStyle w:val="3"/>
        <w:ind w:firstLine="883"/>
        <w:rPr>
          <w:highlight w:val="none"/>
        </w:rPr>
      </w:pPr>
      <w:bookmarkStart w:id="233" w:name="_Toc2372"/>
      <w:bookmarkStart w:id="234" w:name="_Toc24207"/>
      <w:bookmarkStart w:id="235" w:name="_Toc19395"/>
      <w:r>
        <w:rPr>
          <w:rFonts w:hint="eastAsia"/>
          <w:highlight w:val="none"/>
        </w:rPr>
        <w:t>第五章 合同</w:t>
      </w:r>
      <w:bookmarkEnd w:id="199"/>
      <w:r>
        <w:rPr>
          <w:rFonts w:hint="eastAsia"/>
          <w:highlight w:val="none"/>
          <w:lang w:eastAsia="zh-CN"/>
        </w:rPr>
        <w:t>条款及</w:t>
      </w:r>
      <w:r>
        <w:rPr>
          <w:rFonts w:hint="eastAsia"/>
          <w:highlight w:val="none"/>
        </w:rPr>
        <w:t>格式</w:t>
      </w:r>
      <w:bookmarkEnd w:id="204"/>
      <w:bookmarkEnd w:id="233"/>
      <w:bookmarkEnd w:id="234"/>
      <w:bookmarkEnd w:id="235"/>
    </w:p>
    <w:p>
      <w:pPr>
        <w:jc w:val="center"/>
        <w:rPr>
          <w:rFonts w:asciiTheme="minorEastAsia" w:hAnsiTheme="minorEastAsia"/>
          <w:b/>
          <w:sz w:val="44"/>
          <w:szCs w:val="44"/>
          <w:highlight w:val="none"/>
        </w:rPr>
        <w:sectPr>
          <w:pgSz w:w="11906" w:h="16838"/>
          <w:pgMar w:top="1644" w:right="1440" w:bottom="1644" w:left="1440" w:header="851" w:footer="794" w:gutter="0"/>
          <w:cols w:space="720" w:num="1"/>
          <w:titlePg/>
          <w:docGrid w:linePitch="326" w:charSpace="0"/>
        </w:sectPr>
      </w:pPr>
    </w:p>
    <w:p>
      <w:pPr>
        <w:wordWrap w:val="0"/>
        <w:spacing w:line="300" w:lineRule="exact"/>
        <w:ind w:firstLine="482" w:firstLineChars="200"/>
        <w:jc w:val="right"/>
        <w:rPr>
          <w:rFonts w:ascii="仿宋" w:hAnsi="仿宋" w:eastAsia="仿宋"/>
          <w:b/>
          <w:color w:val="000000"/>
          <w:highlight w:val="none"/>
        </w:rPr>
      </w:pPr>
      <w:bookmarkStart w:id="236" w:name="_Hlk18508484"/>
    </w:p>
    <w:p>
      <w:pPr>
        <w:wordWrap w:val="0"/>
        <w:spacing w:line="300" w:lineRule="exact"/>
        <w:ind w:firstLine="48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5"/>
        <w:ind w:right="600" w:firstLine="480"/>
        <w:jc w:val="right"/>
        <w:rPr>
          <w:highlight w:val="none"/>
        </w:rPr>
      </w:pPr>
      <w:r>
        <w:rPr>
          <w:rFonts w:hint="eastAsia" w:ascii="黑体" w:hAnsi="黑体" w:eastAsia="黑体"/>
          <w:sz w:val="24"/>
          <w:highlight w:val="none"/>
        </w:rPr>
        <w:t>合同编号：CQA</w:t>
      </w:r>
      <w:r>
        <w:rPr>
          <w:rFonts w:hint="eastAsia"/>
          <w:highlight w:val="none"/>
        </w:rPr>
        <w:t xml:space="preserve"> </w:t>
      </w:r>
      <w:r>
        <w:rPr>
          <w:highlight w:val="none"/>
        </w:rPr>
        <w:t xml:space="preserve">           </w:t>
      </w:r>
    </w:p>
    <w:bookmarkEnd w:id="236"/>
    <w:p>
      <w:pPr>
        <w:snapToGrid w:val="0"/>
        <w:spacing w:line="360" w:lineRule="auto"/>
        <w:rPr>
          <w:rFonts w:ascii="等线" w:hAnsi="等线" w:eastAsia="等线"/>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w:t>
      </w:r>
    </w:p>
    <w:p>
      <w:pPr>
        <w:pStyle w:val="53"/>
        <w:ind w:firstLine="0" w:firstLineChars="0"/>
        <w:jc w:val="center"/>
        <w:rPr>
          <w:highlight w:val="none"/>
        </w:rPr>
      </w:pPr>
      <w:bookmarkStart w:id="237" w:name="_Hlk18508344"/>
      <w:r>
        <w:rPr>
          <w:rFonts w:hint="eastAsia"/>
          <w:highlight w:val="none"/>
        </w:rPr>
        <w:t>重庆江北国际机场T2、T3A航站楼零星植物及花器采购项目合同</w:t>
      </w:r>
    </w:p>
    <w:bookmarkEnd w:id="237"/>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w:t>
      </w:r>
    </w:p>
    <w:p>
      <w:pPr>
        <w:ind w:firstLine="883" w:firstLineChars="200"/>
        <w:jc w:val="center"/>
        <w:rPr>
          <w:rFonts w:ascii="等线" w:hAnsi="等线" w:eastAsia="等线"/>
          <w:b/>
          <w:sz w:val="44"/>
          <w:highlight w:val="none"/>
        </w:rPr>
      </w:pPr>
    </w:p>
    <w:p>
      <w:pPr>
        <w:ind w:firstLine="482" w:firstLineChars="200"/>
        <w:jc w:val="center"/>
        <w:rPr>
          <w:rFonts w:ascii="等线" w:hAnsi="等线" w:eastAsia="等线"/>
          <w:b/>
          <w:highlight w:val="none"/>
        </w:rPr>
      </w:pPr>
    </w:p>
    <w:p>
      <w:pPr>
        <w:snapToGrid w:val="0"/>
        <w:spacing w:line="360" w:lineRule="auto"/>
        <w:jc w:val="center"/>
        <w:rPr>
          <w:rFonts w:ascii="宋体" w:hAnsi="宋体" w:eastAsia="宋体"/>
          <w:b/>
          <w:sz w:val="32"/>
          <w:szCs w:val="32"/>
          <w:highlight w:val="none"/>
        </w:rPr>
      </w:pPr>
      <w:bookmarkStart w:id="238" w:name="_Hlk18506346"/>
      <w:r>
        <w:rPr>
          <w:rFonts w:hint="eastAsia" w:ascii="宋体" w:hAnsi="宋体" w:eastAsia="宋体"/>
          <w:b/>
          <w:sz w:val="32"/>
          <w:szCs w:val="32"/>
          <w:highlight w:val="none"/>
        </w:rPr>
        <w:t>甲方：重庆机场集团有限公司</w:t>
      </w:r>
    </w:p>
    <w:p>
      <w:pPr>
        <w:snapToGrid w:val="0"/>
        <w:spacing w:line="360" w:lineRule="auto"/>
        <w:rPr>
          <w:rFonts w:ascii="宋体" w:hAnsi="宋体" w:eastAsia="宋体" w:cs="宋体"/>
          <w:b/>
          <w:bCs/>
          <w:sz w:val="32"/>
          <w:szCs w:val="32"/>
          <w:highlight w:val="none"/>
        </w:rPr>
      </w:pPr>
      <w:r>
        <w:rPr>
          <w:rFonts w:hint="eastAsia" w:ascii="宋体" w:hAnsi="宋体" w:eastAsia="宋体"/>
          <w:b/>
          <w:sz w:val="32"/>
          <w:szCs w:val="32"/>
          <w:highlight w:val="none"/>
        </w:rPr>
        <w:t xml:space="preserve">      </w:t>
      </w:r>
      <w:r>
        <w:rPr>
          <w:rFonts w:ascii="宋体" w:hAnsi="宋体" w:eastAsia="宋体"/>
          <w:b/>
          <w:sz w:val="32"/>
          <w:szCs w:val="32"/>
          <w:highlight w:val="none"/>
        </w:rPr>
        <w:t xml:space="preserve">  </w:t>
      </w:r>
      <w:r>
        <w:rPr>
          <w:rFonts w:hint="eastAsia" w:ascii="宋体" w:hAnsi="宋体" w:eastAsia="宋体"/>
          <w:b/>
          <w:sz w:val="32"/>
          <w:szCs w:val="32"/>
          <w:highlight w:val="none"/>
        </w:rPr>
        <w:t xml:space="preserve"> </w:t>
      </w:r>
      <w:r>
        <w:rPr>
          <w:rFonts w:ascii="宋体" w:hAnsi="宋体" w:eastAsia="宋体"/>
          <w:b/>
          <w:sz w:val="32"/>
          <w:szCs w:val="32"/>
          <w:highlight w:val="none"/>
        </w:rPr>
        <w:t xml:space="preserve">    </w:t>
      </w:r>
      <w:r>
        <w:rPr>
          <w:rFonts w:hint="eastAsia" w:ascii="宋体" w:hAnsi="宋体" w:eastAsia="宋体"/>
          <w:b/>
          <w:sz w:val="32"/>
          <w:szCs w:val="32"/>
          <w:highlight w:val="none"/>
        </w:rPr>
        <w:t>乙方：</w:t>
      </w:r>
      <w:r>
        <w:rPr>
          <w:rFonts w:ascii="宋体" w:hAnsi="宋体" w:eastAsia="宋体" w:cs="宋体"/>
          <w:b/>
          <w:bCs/>
          <w:sz w:val="32"/>
          <w:szCs w:val="32"/>
          <w:highlight w:val="none"/>
        </w:rPr>
        <w:t xml:space="preserve"> ______________________</w:t>
      </w:r>
    </w:p>
    <w:bookmarkEnd w:id="238"/>
    <w:p>
      <w:pPr>
        <w:ind w:firstLine="482" w:firstLineChars="200"/>
        <w:rPr>
          <w:rFonts w:cs="宋体"/>
          <w:b/>
          <w:bCs/>
          <w:highlight w:val="none"/>
        </w:rPr>
        <w:sectPr>
          <w:headerReference r:id="rId14" w:type="default"/>
          <w:footerReference r:id="rId15" w:type="default"/>
          <w:pgSz w:w="11906" w:h="16838"/>
          <w:pgMar w:top="1440" w:right="1800" w:bottom="1440" w:left="1800" w:header="851" w:footer="992" w:gutter="0"/>
          <w:cols w:space="425" w:num="1"/>
          <w:docGrid w:type="lines" w:linePitch="312" w:charSpace="0"/>
        </w:sectPr>
      </w:pPr>
      <w:r>
        <w:rPr>
          <w:rFonts w:cs="宋体"/>
          <w:b/>
          <w:bCs/>
          <w:highlight w:val="none"/>
        </w:rPr>
        <w:br w:type="page"/>
      </w:r>
    </w:p>
    <w:sdt>
      <w:sdtPr>
        <w:rPr>
          <w:sz w:val="36"/>
          <w:szCs w:val="36"/>
          <w:highlight w:val="none"/>
          <w:lang w:val="zh-CN" w:eastAsia="en-US"/>
        </w:rPr>
        <w:id w:val="-2010669285"/>
        <w:docPartObj>
          <w:docPartGallery w:val="Table of Contents"/>
          <w:docPartUnique/>
        </w:docPartObj>
      </w:sdtPr>
      <w:sdtEndPr>
        <w:rPr>
          <w:b/>
          <w:bCs/>
          <w:sz w:val="22"/>
          <w:szCs w:val="36"/>
          <w:highlight w:val="none"/>
          <w:lang w:val="zh-CN" w:eastAsia="en-US"/>
        </w:rPr>
      </w:sdtEndPr>
      <w:sdtContent>
        <w:p>
          <w:pPr>
            <w:jc w:val="center"/>
            <w:rPr>
              <w:sz w:val="40"/>
              <w:szCs w:val="36"/>
              <w:highlight w:val="none"/>
            </w:rPr>
          </w:pPr>
          <w:r>
            <w:rPr>
              <w:rFonts w:ascii="宋体" w:hAnsi="宋体" w:eastAsia="宋体"/>
              <w:sz w:val="32"/>
              <w:szCs w:val="36"/>
              <w:highlight w:val="none"/>
            </w:rPr>
            <w:t>目录</w:t>
          </w:r>
        </w:p>
        <w:p>
          <w:pPr>
            <w:pStyle w:val="19"/>
            <w:tabs>
              <w:tab w:val="right" w:leader="dot" w:pos="9360"/>
            </w:tabs>
            <w:ind w:firstLine="600"/>
            <w:rPr>
              <w:highlight w:val="none"/>
            </w:rPr>
          </w:pPr>
          <w:r>
            <w:rPr>
              <w:rFonts w:hint="eastAsia" w:ascii="仿宋_GB2312"/>
              <w:sz w:val="30"/>
              <w:szCs w:val="30"/>
              <w:highlight w:val="none"/>
            </w:rPr>
            <w:fldChar w:fldCharType="begin"/>
          </w:r>
          <w:r>
            <w:rPr>
              <w:rFonts w:hint="eastAsia" w:ascii="仿宋_GB2312"/>
              <w:sz w:val="30"/>
              <w:szCs w:val="30"/>
              <w:highlight w:val="none"/>
            </w:rPr>
            <w:instrText xml:space="preserve"> TOC \o "1-3" \h \z \u </w:instrText>
          </w:r>
          <w:r>
            <w:rPr>
              <w:rFonts w:hint="eastAsia" w:ascii="仿宋_GB2312"/>
              <w:sz w:val="30"/>
              <w:szCs w:val="30"/>
              <w:highlight w:val="none"/>
            </w:rPr>
            <w:fldChar w:fldCharType="separate"/>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"_Toc11333" </w:instrText>
          </w:r>
          <w:r>
            <w:rPr>
              <w:sz w:val="28"/>
              <w:szCs w:val="28"/>
              <w:highlight w:val="none"/>
            </w:rPr>
            <w:fldChar w:fldCharType="separate"/>
          </w:r>
          <w:r>
            <w:rPr>
              <w:sz w:val="28"/>
              <w:szCs w:val="28"/>
              <w:highlight w:val="none"/>
            </w:rPr>
            <w:t>第</w:t>
          </w:r>
          <w:r>
            <w:rPr>
              <w:rFonts w:hint="eastAsia"/>
              <w:sz w:val="28"/>
              <w:szCs w:val="28"/>
              <w:highlight w:val="none"/>
            </w:rPr>
            <w:t>一</w:t>
          </w:r>
          <w:r>
            <w:rPr>
              <w:sz w:val="28"/>
              <w:szCs w:val="28"/>
              <w:highlight w:val="none"/>
            </w:rPr>
            <w:t>条 货</w:t>
          </w:r>
          <w:r>
            <w:rPr>
              <w:rFonts w:hint="eastAsia"/>
              <w:sz w:val="28"/>
              <w:szCs w:val="28"/>
              <w:highlight w:val="none"/>
            </w:rPr>
            <w:t>物</w:t>
          </w:r>
          <w:r>
            <w:rPr>
              <w:sz w:val="28"/>
              <w:szCs w:val="28"/>
              <w:highlight w:val="none"/>
            </w:rPr>
            <w:t>名称、数量及规格</w:t>
          </w:r>
          <w:r>
            <w:rPr>
              <w:sz w:val="28"/>
              <w:szCs w:val="28"/>
              <w:highlight w:val="none"/>
            </w:rPr>
            <w:tab/>
          </w:r>
          <w:r>
            <w:rPr>
              <w:sz w:val="28"/>
              <w:szCs w:val="28"/>
              <w:highlight w:val="none"/>
            </w:rPr>
            <w:fldChar w:fldCharType="begin"/>
          </w:r>
          <w:r>
            <w:rPr>
              <w:sz w:val="28"/>
              <w:szCs w:val="28"/>
              <w:highlight w:val="none"/>
            </w:rPr>
            <w:instrText xml:space="preserve"> PAGEREF _Toc11333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"_Toc12594" </w:instrText>
          </w:r>
          <w:r>
            <w:rPr>
              <w:sz w:val="28"/>
              <w:szCs w:val="28"/>
              <w:highlight w:val="none"/>
            </w:rPr>
            <w:fldChar w:fldCharType="separate"/>
          </w:r>
          <w:r>
            <w:rPr>
              <w:sz w:val="28"/>
              <w:szCs w:val="28"/>
              <w:highlight w:val="none"/>
            </w:rPr>
            <w:t>第</w:t>
          </w:r>
          <w:r>
            <w:rPr>
              <w:rFonts w:hint="eastAsia"/>
              <w:sz w:val="28"/>
              <w:szCs w:val="28"/>
              <w:highlight w:val="none"/>
            </w:rPr>
            <w:t>二</w:t>
          </w:r>
          <w:r>
            <w:rPr>
              <w:sz w:val="28"/>
              <w:szCs w:val="28"/>
              <w:highlight w:val="none"/>
            </w:rPr>
            <w:t>条 合同价款</w:t>
          </w:r>
          <w:r>
            <w:rPr>
              <w:sz w:val="28"/>
              <w:szCs w:val="28"/>
              <w:highlight w:val="none"/>
            </w:rPr>
            <w:tab/>
          </w:r>
          <w:r>
            <w:rPr>
              <w:sz w:val="28"/>
              <w:szCs w:val="28"/>
              <w:highlight w:val="none"/>
            </w:rPr>
            <w:fldChar w:fldCharType="begin"/>
          </w:r>
          <w:r>
            <w:rPr>
              <w:sz w:val="28"/>
              <w:szCs w:val="28"/>
              <w:highlight w:val="none"/>
            </w:rPr>
            <w:instrText xml:space="preserve"> PAGEREF _Toc12594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"_Toc18221" </w:instrText>
          </w:r>
          <w:r>
            <w:rPr>
              <w:sz w:val="28"/>
              <w:szCs w:val="28"/>
              <w:highlight w:val="none"/>
            </w:rPr>
            <w:fldChar w:fldCharType="separate"/>
          </w:r>
          <w:r>
            <w:rPr>
              <w:rFonts w:hint="eastAsia"/>
              <w:sz w:val="28"/>
              <w:szCs w:val="28"/>
              <w:highlight w:val="none"/>
            </w:rPr>
            <w:t>第三条 合同期限</w:t>
          </w:r>
          <w:r>
            <w:rPr>
              <w:sz w:val="28"/>
              <w:szCs w:val="28"/>
              <w:highlight w:val="none"/>
            </w:rPr>
            <w:tab/>
          </w:r>
          <w:r>
            <w:rPr>
              <w:sz w:val="28"/>
              <w:szCs w:val="28"/>
              <w:highlight w:val="none"/>
            </w:rPr>
            <w:fldChar w:fldCharType="begin"/>
          </w:r>
          <w:r>
            <w:rPr>
              <w:sz w:val="28"/>
              <w:szCs w:val="28"/>
              <w:highlight w:val="none"/>
            </w:rPr>
            <w:instrText xml:space="preserve"> PAGEREF _Toc18221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"_Toc6397" </w:instrText>
          </w:r>
          <w:r>
            <w:rPr>
              <w:sz w:val="28"/>
              <w:szCs w:val="28"/>
              <w:highlight w:val="none"/>
            </w:rPr>
            <w:fldChar w:fldCharType="separate"/>
          </w:r>
          <w:r>
            <w:rPr>
              <w:sz w:val="28"/>
              <w:szCs w:val="28"/>
              <w:highlight w:val="none"/>
            </w:rPr>
            <w:t>第</w:t>
          </w:r>
          <w:r>
            <w:rPr>
              <w:rFonts w:hint="eastAsia"/>
              <w:sz w:val="28"/>
              <w:szCs w:val="28"/>
              <w:highlight w:val="none"/>
            </w:rPr>
            <w:t>四</w:t>
          </w:r>
          <w:r>
            <w:rPr>
              <w:sz w:val="28"/>
              <w:szCs w:val="28"/>
              <w:highlight w:val="none"/>
            </w:rPr>
            <w:t>条</w:t>
          </w:r>
          <w:r>
            <w:rPr>
              <w:rFonts w:hint="eastAsia"/>
              <w:sz w:val="28"/>
              <w:szCs w:val="28"/>
              <w:highlight w:val="none"/>
            </w:rPr>
            <w:t xml:space="preserve"> </w:t>
          </w:r>
          <w:r>
            <w:rPr>
              <w:sz w:val="28"/>
              <w:szCs w:val="28"/>
              <w:highlight w:val="none"/>
            </w:rPr>
            <w:t>技术标准及要求</w:t>
          </w:r>
          <w:r>
            <w:rPr>
              <w:sz w:val="28"/>
              <w:szCs w:val="28"/>
              <w:highlight w:val="none"/>
            </w:rPr>
            <w:tab/>
          </w:r>
          <w:r>
            <w:rPr>
              <w:sz w:val="28"/>
              <w:szCs w:val="28"/>
              <w:highlight w:val="none"/>
            </w:rPr>
            <w:fldChar w:fldCharType="begin"/>
          </w:r>
          <w:r>
            <w:rPr>
              <w:sz w:val="28"/>
              <w:szCs w:val="28"/>
              <w:highlight w:val="none"/>
            </w:rPr>
            <w:instrText xml:space="preserve"> PAGEREF _Toc6397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"_Toc29166" </w:instrText>
          </w:r>
          <w:r>
            <w:rPr>
              <w:sz w:val="28"/>
              <w:szCs w:val="28"/>
              <w:highlight w:val="none"/>
            </w:rPr>
            <w:fldChar w:fldCharType="separate"/>
          </w:r>
          <w:r>
            <w:rPr>
              <w:sz w:val="28"/>
              <w:szCs w:val="28"/>
              <w:highlight w:val="none"/>
            </w:rPr>
            <w:t>第</w:t>
          </w:r>
          <w:r>
            <w:rPr>
              <w:rFonts w:hint="eastAsia"/>
              <w:sz w:val="28"/>
              <w:szCs w:val="28"/>
              <w:highlight w:val="none"/>
            </w:rPr>
            <w:t>五</w:t>
          </w:r>
          <w:r>
            <w:rPr>
              <w:sz w:val="28"/>
              <w:szCs w:val="28"/>
              <w:highlight w:val="none"/>
            </w:rPr>
            <w:t>条 交货日期、方式和地点</w:t>
          </w:r>
          <w:r>
            <w:rPr>
              <w:sz w:val="28"/>
              <w:szCs w:val="28"/>
              <w:highlight w:val="none"/>
            </w:rPr>
            <w:tab/>
          </w:r>
          <w:r>
            <w:rPr>
              <w:sz w:val="28"/>
              <w:szCs w:val="28"/>
              <w:highlight w:val="none"/>
            </w:rPr>
            <w:fldChar w:fldCharType="begin"/>
          </w:r>
          <w:r>
            <w:rPr>
              <w:sz w:val="28"/>
              <w:szCs w:val="28"/>
              <w:highlight w:val="none"/>
            </w:rPr>
            <w:instrText xml:space="preserve"> PAGEREF _Toc29166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"_Toc28817" </w:instrText>
          </w:r>
          <w:r>
            <w:rPr>
              <w:sz w:val="28"/>
              <w:szCs w:val="28"/>
              <w:highlight w:val="none"/>
            </w:rPr>
            <w:fldChar w:fldCharType="separate"/>
          </w:r>
          <w:r>
            <w:rPr>
              <w:rFonts w:hint="eastAsia"/>
              <w:sz w:val="28"/>
              <w:szCs w:val="28"/>
              <w:highlight w:val="none"/>
            </w:rPr>
            <w:t>第六条 质量要求与售后服务</w:t>
          </w:r>
          <w:r>
            <w:rPr>
              <w:sz w:val="28"/>
              <w:szCs w:val="28"/>
              <w:highlight w:val="none"/>
            </w:rPr>
            <w:tab/>
          </w:r>
          <w:r>
            <w:rPr>
              <w:sz w:val="28"/>
              <w:szCs w:val="28"/>
              <w:highlight w:val="none"/>
            </w:rPr>
            <w:fldChar w:fldCharType="begin"/>
          </w:r>
          <w:r>
            <w:rPr>
              <w:sz w:val="28"/>
              <w:szCs w:val="28"/>
              <w:highlight w:val="none"/>
            </w:rPr>
            <w:instrText xml:space="preserve"> PAGEREF _Toc28817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"_Toc19061" </w:instrText>
          </w:r>
          <w:r>
            <w:rPr>
              <w:sz w:val="28"/>
              <w:szCs w:val="28"/>
              <w:highlight w:val="none"/>
            </w:rPr>
            <w:fldChar w:fldCharType="separate"/>
          </w:r>
          <w:r>
            <w:rPr>
              <w:rFonts w:hint="eastAsia"/>
              <w:sz w:val="28"/>
              <w:szCs w:val="28"/>
              <w:highlight w:val="none"/>
            </w:rPr>
            <w:t>第七条 应急采购</w:t>
          </w:r>
          <w:r>
            <w:rPr>
              <w:sz w:val="28"/>
              <w:szCs w:val="28"/>
              <w:highlight w:val="none"/>
            </w:rPr>
            <w:tab/>
          </w:r>
          <w:r>
            <w:rPr>
              <w:sz w:val="28"/>
              <w:szCs w:val="28"/>
              <w:highlight w:val="none"/>
            </w:rPr>
            <w:fldChar w:fldCharType="begin"/>
          </w:r>
          <w:r>
            <w:rPr>
              <w:sz w:val="28"/>
              <w:szCs w:val="28"/>
              <w:highlight w:val="none"/>
            </w:rPr>
            <w:instrText xml:space="preserve"> PAGEREF _Toc19061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"_Toc9429" </w:instrText>
          </w:r>
          <w:r>
            <w:rPr>
              <w:sz w:val="28"/>
              <w:szCs w:val="28"/>
              <w:highlight w:val="none"/>
            </w:rPr>
            <w:fldChar w:fldCharType="separate"/>
          </w:r>
          <w:r>
            <w:rPr>
              <w:rFonts w:hint="eastAsia"/>
              <w:sz w:val="28"/>
              <w:szCs w:val="28"/>
              <w:highlight w:val="none"/>
            </w:rPr>
            <w:t>第八条 包装和运输</w:t>
          </w:r>
          <w:r>
            <w:rPr>
              <w:sz w:val="28"/>
              <w:szCs w:val="28"/>
              <w:highlight w:val="none"/>
            </w:rPr>
            <w:tab/>
          </w:r>
          <w:r>
            <w:rPr>
              <w:sz w:val="28"/>
              <w:szCs w:val="28"/>
              <w:highlight w:val="none"/>
            </w:rPr>
            <w:fldChar w:fldCharType="begin"/>
          </w:r>
          <w:r>
            <w:rPr>
              <w:sz w:val="28"/>
              <w:szCs w:val="28"/>
              <w:highlight w:val="none"/>
            </w:rPr>
            <w:instrText xml:space="preserve"> PAGEREF _Toc9429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"_Toc24894" </w:instrText>
          </w:r>
          <w:r>
            <w:rPr>
              <w:sz w:val="28"/>
              <w:szCs w:val="28"/>
              <w:highlight w:val="none"/>
            </w:rPr>
            <w:fldChar w:fldCharType="separate"/>
          </w:r>
          <w:r>
            <w:rPr>
              <w:sz w:val="28"/>
              <w:szCs w:val="28"/>
              <w:highlight w:val="none"/>
            </w:rPr>
            <w:t>第</w:t>
          </w:r>
          <w:r>
            <w:rPr>
              <w:rFonts w:hint="eastAsia"/>
              <w:sz w:val="28"/>
              <w:szCs w:val="28"/>
              <w:highlight w:val="none"/>
            </w:rPr>
            <w:t>九</w:t>
          </w:r>
          <w:r>
            <w:rPr>
              <w:sz w:val="28"/>
              <w:szCs w:val="28"/>
              <w:highlight w:val="none"/>
            </w:rPr>
            <w:t>条 验收办法</w:t>
          </w:r>
          <w:r>
            <w:rPr>
              <w:sz w:val="28"/>
              <w:szCs w:val="28"/>
              <w:highlight w:val="none"/>
            </w:rPr>
            <w:tab/>
          </w:r>
          <w:r>
            <w:rPr>
              <w:sz w:val="28"/>
              <w:szCs w:val="28"/>
              <w:highlight w:val="none"/>
            </w:rPr>
            <w:fldChar w:fldCharType="begin"/>
          </w:r>
          <w:r>
            <w:rPr>
              <w:sz w:val="28"/>
              <w:szCs w:val="28"/>
              <w:highlight w:val="none"/>
            </w:rPr>
            <w:instrText xml:space="preserve"> PAGEREF _Toc24894 </w:instrText>
          </w:r>
          <w:r>
            <w:rPr>
              <w:sz w:val="28"/>
              <w:szCs w:val="28"/>
              <w:highlight w:val="none"/>
            </w:rPr>
            <w:fldChar w:fldCharType="separate"/>
          </w:r>
          <w:r>
            <w:rPr>
              <w:sz w:val="28"/>
              <w:szCs w:val="28"/>
              <w:highlight w:val="none"/>
            </w:rPr>
            <w:t>36</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"_Toc32346" </w:instrText>
          </w:r>
          <w:r>
            <w:rPr>
              <w:sz w:val="28"/>
              <w:szCs w:val="28"/>
              <w:highlight w:val="none"/>
            </w:rPr>
            <w:fldChar w:fldCharType="separate"/>
          </w:r>
          <w:r>
            <w:rPr>
              <w:rFonts w:hint="eastAsia"/>
              <w:sz w:val="28"/>
              <w:szCs w:val="28"/>
              <w:highlight w:val="none"/>
            </w:rPr>
            <w:t>第十条 单据</w:t>
          </w:r>
          <w:r>
            <w:rPr>
              <w:sz w:val="28"/>
              <w:szCs w:val="28"/>
              <w:highlight w:val="none"/>
            </w:rPr>
            <w:tab/>
          </w:r>
          <w:r>
            <w:rPr>
              <w:sz w:val="28"/>
              <w:szCs w:val="28"/>
              <w:highlight w:val="none"/>
            </w:rPr>
            <w:fldChar w:fldCharType="begin"/>
          </w:r>
          <w:r>
            <w:rPr>
              <w:sz w:val="28"/>
              <w:szCs w:val="28"/>
              <w:highlight w:val="none"/>
            </w:rPr>
            <w:instrText xml:space="preserve"> PAGEREF _Toc32346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"_Toc20785" </w:instrText>
          </w:r>
          <w:r>
            <w:rPr>
              <w:sz w:val="28"/>
              <w:szCs w:val="28"/>
              <w:highlight w:val="none"/>
            </w:rPr>
            <w:fldChar w:fldCharType="separate"/>
          </w:r>
          <w:r>
            <w:rPr>
              <w:rFonts w:hint="eastAsia"/>
              <w:sz w:val="28"/>
              <w:szCs w:val="28"/>
              <w:highlight w:val="none"/>
            </w:rPr>
            <w:t>第十一条 保证金</w:t>
          </w:r>
          <w:r>
            <w:rPr>
              <w:sz w:val="28"/>
              <w:szCs w:val="28"/>
              <w:highlight w:val="none"/>
            </w:rPr>
            <w:tab/>
          </w:r>
          <w:r>
            <w:rPr>
              <w:sz w:val="28"/>
              <w:szCs w:val="28"/>
              <w:highlight w:val="none"/>
            </w:rPr>
            <w:fldChar w:fldCharType="begin"/>
          </w:r>
          <w:r>
            <w:rPr>
              <w:sz w:val="28"/>
              <w:szCs w:val="28"/>
              <w:highlight w:val="none"/>
            </w:rPr>
            <w:instrText xml:space="preserve"> PAGEREF _Toc20785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"_Toc13975" </w:instrText>
          </w:r>
          <w:r>
            <w:rPr>
              <w:sz w:val="28"/>
              <w:szCs w:val="28"/>
              <w:highlight w:val="none"/>
            </w:rPr>
            <w:fldChar w:fldCharType="separate"/>
          </w:r>
          <w:r>
            <w:rPr>
              <w:sz w:val="28"/>
              <w:szCs w:val="28"/>
              <w:highlight w:val="none"/>
            </w:rPr>
            <w:t>第</w:t>
          </w:r>
          <w:r>
            <w:rPr>
              <w:rFonts w:hint="eastAsia"/>
              <w:sz w:val="28"/>
              <w:szCs w:val="28"/>
              <w:highlight w:val="none"/>
            </w:rPr>
            <w:t>十二</w:t>
          </w:r>
          <w:r>
            <w:rPr>
              <w:sz w:val="28"/>
              <w:szCs w:val="28"/>
              <w:highlight w:val="none"/>
            </w:rPr>
            <w:t>条 付款方式</w:t>
          </w:r>
          <w:r>
            <w:rPr>
              <w:sz w:val="28"/>
              <w:szCs w:val="28"/>
              <w:highlight w:val="none"/>
            </w:rPr>
            <w:tab/>
          </w:r>
          <w:r>
            <w:rPr>
              <w:sz w:val="28"/>
              <w:szCs w:val="28"/>
              <w:highlight w:val="none"/>
            </w:rPr>
            <w:fldChar w:fldCharType="begin"/>
          </w:r>
          <w:r>
            <w:rPr>
              <w:sz w:val="28"/>
              <w:szCs w:val="28"/>
              <w:highlight w:val="none"/>
            </w:rPr>
            <w:instrText xml:space="preserve"> PAGEREF _Toc13975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"_Toc5971" </w:instrText>
          </w:r>
          <w:r>
            <w:rPr>
              <w:sz w:val="28"/>
              <w:szCs w:val="28"/>
              <w:highlight w:val="none"/>
            </w:rPr>
            <w:fldChar w:fldCharType="separate"/>
          </w:r>
          <w:r>
            <w:rPr>
              <w:sz w:val="28"/>
              <w:szCs w:val="28"/>
              <w:highlight w:val="none"/>
            </w:rPr>
            <w:t>第</w:t>
          </w:r>
          <w:r>
            <w:rPr>
              <w:rFonts w:hint="eastAsia"/>
              <w:sz w:val="28"/>
              <w:szCs w:val="28"/>
              <w:highlight w:val="none"/>
            </w:rPr>
            <w:t>十三</w:t>
          </w:r>
          <w:r>
            <w:rPr>
              <w:sz w:val="28"/>
              <w:szCs w:val="28"/>
              <w:highlight w:val="none"/>
            </w:rPr>
            <w:t>条 违约和索赔</w:t>
          </w:r>
          <w:r>
            <w:rPr>
              <w:sz w:val="28"/>
              <w:szCs w:val="28"/>
              <w:highlight w:val="none"/>
            </w:rPr>
            <w:tab/>
          </w:r>
          <w:r>
            <w:rPr>
              <w:sz w:val="28"/>
              <w:szCs w:val="28"/>
              <w:highlight w:val="none"/>
            </w:rPr>
            <w:fldChar w:fldCharType="begin"/>
          </w:r>
          <w:r>
            <w:rPr>
              <w:sz w:val="28"/>
              <w:szCs w:val="28"/>
              <w:highlight w:val="none"/>
            </w:rPr>
            <w:instrText xml:space="preserve"> PAGEREF _Toc5971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"_Toc579" </w:instrText>
          </w:r>
          <w:r>
            <w:rPr>
              <w:sz w:val="28"/>
              <w:szCs w:val="28"/>
              <w:highlight w:val="none"/>
            </w:rPr>
            <w:fldChar w:fldCharType="separate"/>
          </w:r>
          <w:r>
            <w:rPr>
              <w:sz w:val="28"/>
              <w:szCs w:val="28"/>
              <w:highlight w:val="none"/>
            </w:rPr>
            <w:t>第</w:t>
          </w:r>
          <w:r>
            <w:rPr>
              <w:rFonts w:hint="eastAsia"/>
              <w:sz w:val="28"/>
              <w:szCs w:val="28"/>
              <w:highlight w:val="none"/>
            </w:rPr>
            <w:t>十四</w:t>
          </w:r>
          <w:r>
            <w:rPr>
              <w:sz w:val="28"/>
              <w:szCs w:val="28"/>
              <w:highlight w:val="none"/>
            </w:rPr>
            <w:t>条 不可抗力</w:t>
          </w:r>
          <w:r>
            <w:rPr>
              <w:sz w:val="28"/>
              <w:szCs w:val="28"/>
              <w:highlight w:val="none"/>
            </w:rPr>
            <w:tab/>
          </w:r>
          <w:r>
            <w:rPr>
              <w:sz w:val="28"/>
              <w:szCs w:val="28"/>
              <w:highlight w:val="none"/>
            </w:rPr>
            <w:fldChar w:fldCharType="begin"/>
          </w:r>
          <w:r>
            <w:rPr>
              <w:sz w:val="28"/>
              <w:szCs w:val="28"/>
              <w:highlight w:val="none"/>
            </w:rPr>
            <w:instrText xml:space="preserve"> PAGEREF _Toc579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"_Toc6716" </w:instrText>
          </w:r>
          <w:r>
            <w:rPr>
              <w:sz w:val="28"/>
              <w:szCs w:val="28"/>
              <w:highlight w:val="none"/>
            </w:rPr>
            <w:fldChar w:fldCharType="separate"/>
          </w:r>
          <w:r>
            <w:rPr>
              <w:rFonts w:hint="eastAsia"/>
              <w:sz w:val="28"/>
              <w:szCs w:val="28"/>
              <w:highlight w:val="none"/>
            </w:rPr>
            <w:t>第十五条 通知条款</w:t>
          </w:r>
          <w:r>
            <w:rPr>
              <w:sz w:val="28"/>
              <w:szCs w:val="28"/>
              <w:highlight w:val="none"/>
            </w:rPr>
            <w:tab/>
          </w:r>
          <w:r>
            <w:rPr>
              <w:sz w:val="28"/>
              <w:szCs w:val="28"/>
              <w:highlight w:val="none"/>
            </w:rPr>
            <w:fldChar w:fldCharType="begin"/>
          </w:r>
          <w:r>
            <w:rPr>
              <w:sz w:val="28"/>
              <w:szCs w:val="28"/>
              <w:highlight w:val="none"/>
            </w:rPr>
            <w:instrText xml:space="preserve"> PAGEREF _Toc6716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"_Toc1894" </w:instrText>
          </w:r>
          <w:r>
            <w:rPr>
              <w:sz w:val="28"/>
              <w:szCs w:val="28"/>
              <w:highlight w:val="none"/>
            </w:rPr>
            <w:fldChar w:fldCharType="separate"/>
          </w:r>
          <w:r>
            <w:rPr>
              <w:sz w:val="28"/>
              <w:szCs w:val="28"/>
              <w:highlight w:val="none"/>
            </w:rPr>
            <w:t>第</w:t>
          </w:r>
          <w:r>
            <w:rPr>
              <w:rFonts w:hint="eastAsia"/>
              <w:sz w:val="28"/>
              <w:szCs w:val="28"/>
              <w:highlight w:val="none"/>
            </w:rPr>
            <w:t>十六</w:t>
          </w:r>
          <w:r>
            <w:rPr>
              <w:sz w:val="28"/>
              <w:szCs w:val="28"/>
              <w:highlight w:val="none"/>
            </w:rPr>
            <w:t xml:space="preserve">条 </w:t>
          </w:r>
          <w:r>
            <w:rPr>
              <w:rFonts w:hint="eastAsia"/>
              <w:sz w:val="28"/>
              <w:szCs w:val="28"/>
              <w:highlight w:val="none"/>
            </w:rPr>
            <w:t>保密条款</w:t>
          </w:r>
          <w:r>
            <w:rPr>
              <w:sz w:val="28"/>
              <w:szCs w:val="28"/>
              <w:highlight w:val="none"/>
            </w:rPr>
            <w:tab/>
          </w:r>
          <w:r>
            <w:rPr>
              <w:sz w:val="28"/>
              <w:szCs w:val="28"/>
              <w:highlight w:val="none"/>
            </w:rPr>
            <w:fldChar w:fldCharType="begin"/>
          </w:r>
          <w:r>
            <w:rPr>
              <w:sz w:val="28"/>
              <w:szCs w:val="28"/>
              <w:highlight w:val="none"/>
            </w:rPr>
            <w:instrText xml:space="preserve"> PAGEREF _Toc1894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"_Toc8795" </w:instrText>
          </w:r>
          <w:r>
            <w:rPr>
              <w:sz w:val="28"/>
              <w:szCs w:val="28"/>
              <w:highlight w:val="none"/>
            </w:rPr>
            <w:fldChar w:fldCharType="separate"/>
          </w:r>
          <w:r>
            <w:rPr>
              <w:sz w:val="28"/>
              <w:szCs w:val="28"/>
              <w:highlight w:val="none"/>
            </w:rPr>
            <w:t>第</w:t>
          </w:r>
          <w:r>
            <w:rPr>
              <w:rFonts w:hint="eastAsia"/>
              <w:sz w:val="28"/>
              <w:szCs w:val="28"/>
              <w:highlight w:val="none"/>
            </w:rPr>
            <w:t>十七</w:t>
          </w:r>
          <w:r>
            <w:rPr>
              <w:sz w:val="28"/>
              <w:szCs w:val="28"/>
              <w:highlight w:val="none"/>
            </w:rPr>
            <w:t xml:space="preserve">条 </w:t>
          </w:r>
          <w:r>
            <w:rPr>
              <w:rFonts w:hint="eastAsia"/>
              <w:sz w:val="28"/>
              <w:szCs w:val="28"/>
              <w:highlight w:val="none"/>
            </w:rPr>
            <w:t>合同争议的解决方式</w:t>
          </w:r>
          <w:r>
            <w:rPr>
              <w:sz w:val="28"/>
              <w:szCs w:val="28"/>
              <w:highlight w:val="none"/>
            </w:rPr>
            <w:tab/>
          </w:r>
          <w:r>
            <w:rPr>
              <w:sz w:val="28"/>
              <w:szCs w:val="28"/>
              <w:highlight w:val="none"/>
            </w:rPr>
            <w:fldChar w:fldCharType="begin"/>
          </w:r>
          <w:r>
            <w:rPr>
              <w:sz w:val="28"/>
              <w:szCs w:val="28"/>
              <w:highlight w:val="none"/>
            </w:rPr>
            <w:instrText xml:space="preserve"> PAGEREF _Toc8795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"_Toc25877" </w:instrText>
          </w:r>
          <w:r>
            <w:rPr>
              <w:sz w:val="28"/>
              <w:szCs w:val="28"/>
              <w:highlight w:val="none"/>
            </w:rPr>
            <w:fldChar w:fldCharType="separate"/>
          </w:r>
          <w:r>
            <w:rPr>
              <w:rFonts w:hint="eastAsia"/>
              <w:sz w:val="28"/>
              <w:szCs w:val="28"/>
              <w:highlight w:val="none"/>
            </w:rPr>
            <w:t xml:space="preserve">第十八条 </w:t>
          </w:r>
          <w:r>
            <w:rPr>
              <w:sz w:val="28"/>
              <w:szCs w:val="28"/>
              <w:highlight w:val="none"/>
            </w:rPr>
            <w:t>合同的变更和解除</w:t>
          </w:r>
          <w:r>
            <w:rPr>
              <w:sz w:val="28"/>
              <w:szCs w:val="28"/>
              <w:highlight w:val="none"/>
            </w:rPr>
            <w:tab/>
          </w:r>
          <w:r>
            <w:rPr>
              <w:sz w:val="28"/>
              <w:szCs w:val="28"/>
              <w:highlight w:val="none"/>
            </w:rPr>
            <w:fldChar w:fldCharType="begin"/>
          </w:r>
          <w:r>
            <w:rPr>
              <w:sz w:val="28"/>
              <w:szCs w:val="28"/>
              <w:highlight w:val="none"/>
            </w:rPr>
            <w:instrText xml:space="preserve"> PAGEREF _Toc25877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"_Toc28999" </w:instrText>
          </w:r>
          <w:r>
            <w:rPr>
              <w:sz w:val="28"/>
              <w:szCs w:val="28"/>
              <w:highlight w:val="none"/>
            </w:rPr>
            <w:fldChar w:fldCharType="separate"/>
          </w:r>
          <w:r>
            <w:rPr>
              <w:sz w:val="28"/>
              <w:szCs w:val="28"/>
              <w:highlight w:val="none"/>
            </w:rPr>
            <w:t>第</w:t>
          </w:r>
          <w:r>
            <w:rPr>
              <w:rFonts w:hint="eastAsia"/>
              <w:sz w:val="28"/>
              <w:szCs w:val="28"/>
              <w:highlight w:val="none"/>
            </w:rPr>
            <w:t>十九</w:t>
          </w:r>
          <w:r>
            <w:rPr>
              <w:sz w:val="28"/>
              <w:szCs w:val="28"/>
              <w:highlight w:val="none"/>
            </w:rPr>
            <w:t>条 合同生效及其他</w:t>
          </w:r>
          <w:r>
            <w:rPr>
              <w:sz w:val="28"/>
              <w:szCs w:val="28"/>
              <w:highlight w:val="none"/>
            </w:rPr>
            <w:tab/>
          </w:r>
          <w:r>
            <w:rPr>
              <w:sz w:val="28"/>
              <w:szCs w:val="28"/>
              <w:highlight w:val="none"/>
            </w:rPr>
            <w:fldChar w:fldCharType="begin"/>
          </w:r>
          <w:r>
            <w:rPr>
              <w:sz w:val="28"/>
              <w:szCs w:val="28"/>
              <w:highlight w:val="none"/>
            </w:rPr>
            <w:instrText xml:space="preserve"> PAGEREF _Toc28999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pPr>
            <w:ind w:firstLine="480" w:firstLineChars="200"/>
            <w:rPr>
              <w:highlight w:val="none"/>
            </w:rPr>
          </w:pPr>
          <w:r>
            <w:rPr>
              <w:rFonts w:hint="eastAsia" w:ascii="仿宋_GB2312" w:eastAsia="仿宋_GB2312"/>
              <w:bCs/>
              <w:szCs w:val="30"/>
              <w:highlight w:val="none"/>
              <w:lang w:val="zh-CN"/>
            </w:rPr>
            <w:fldChar w:fldCharType="end"/>
          </w:r>
        </w:p>
      </w:sdtContent>
    </w:sdt>
    <w:p>
      <w:pPr>
        <w:ind w:firstLine="482" w:firstLineChars="200"/>
        <w:rPr>
          <w:rFonts w:cs="宋体"/>
          <w:b/>
          <w:bCs/>
          <w:highlight w:val="none"/>
        </w:rPr>
      </w:pPr>
    </w:p>
    <w:p>
      <w:pPr>
        <w:ind w:firstLine="482" w:firstLineChars="200"/>
        <w:rPr>
          <w:rFonts w:cs="宋体"/>
          <w:b/>
          <w:bCs/>
          <w:highlight w:val="none"/>
        </w:rPr>
        <w:sectPr>
          <w:footerReference r:id="rId16" w:type="default"/>
          <w:pgSz w:w="12240" w:h="15840"/>
          <w:pgMar w:top="1440" w:right="1440" w:bottom="1440" w:left="1440" w:header="720" w:footer="720" w:gutter="0"/>
          <w:cols w:space="720" w:num="1"/>
        </w:sectPr>
      </w:pPr>
    </w:p>
    <w:p>
      <w:pPr>
        <w:ind w:firstLine="482" w:firstLineChars="200"/>
        <w:rPr>
          <w:rFonts w:cs="宋体"/>
          <w:b/>
          <w:bCs/>
          <w:highlight w:val="none"/>
        </w:rPr>
      </w:pPr>
    </w:p>
    <w:p>
      <w:pPr>
        <w:pStyle w:val="5"/>
        <w:ind w:firstLine="602"/>
        <w:rPr>
          <w:b/>
          <w:bCs/>
          <w:highlight w:val="none"/>
        </w:rPr>
      </w:pPr>
      <w:r>
        <w:rPr>
          <w:rFonts w:hint="eastAsia"/>
          <w:b/>
          <w:bCs/>
          <w:highlight w:val="none"/>
        </w:rPr>
        <w:t>甲方（买方）：重庆机场集团有限公司</w:t>
      </w:r>
    </w:p>
    <w:p>
      <w:pPr>
        <w:pStyle w:val="5"/>
        <w:ind w:firstLine="602"/>
        <w:rPr>
          <w:b/>
          <w:bCs/>
          <w:highlight w:val="none"/>
        </w:rPr>
      </w:pPr>
      <w:r>
        <w:rPr>
          <w:rFonts w:hint="eastAsia"/>
          <w:b/>
          <w:bCs/>
          <w:highlight w:val="none"/>
        </w:rPr>
        <w:t>统一信用代码：</w:t>
      </w:r>
    </w:p>
    <w:p>
      <w:pPr>
        <w:pStyle w:val="5"/>
        <w:ind w:firstLine="602"/>
        <w:rPr>
          <w:b/>
          <w:bCs/>
          <w:highlight w:val="none"/>
        </w:rPr>
      </w:pPr>
      <w:r>
        <w:rPr>
          <w:rFonts w:hint="eastAsia"/>
          <w:b/>
          <w:bCs/>
          <w:highlight w:val="none"/>
        </w:rPr>
        <w:t>送达地址：</w:t>
      </w:r>
    </w:p>
    <w:p>
      <w:pPr>
        <w:pStyle w:val="5"/>
        <w:ind w:firstLine="602"/>
        <w:rPr>
          <w:b/>
          <w:bCs/>
          <w:highlight w:val="none"/>
        </w:rPr>
      </w:pPr>
      <w:r>
        <w:rPr>
          <w:rFonts w:hint="eastAsia"/>
          <w:b/>
          <w:bCs/>
          <w:highlight w:val="none"/>
        </w:rPr>
        <w:t xml:space="preserve">联系人： </w:t>
      </w:r>
    </w:p>
    <w:p>
      <w:pPr>
        <w:pStyle w:val="5"/>
        <w:ind w:firstLine="602"/>
        <w:rPr>
          <w:b/>
          <w:bCs/>
          <w:highlight w:val="none"/>
        </w:rPr>
      </w:pPr>
      <w:r>
        <w:rPr>
          <w:rFonts w:hint="eastAsia"/>
          <w:b/>
          <w:bCs/>
          <w:highlight w:val="none"/>
        </w:rPr>
        <w:t>联系电话：</w:t>
      </w:r>
    </w:p>
    <w:p>
      <w:pPr>
        <w:pStyle w:val="5"/>
        <w:ind w:firstLine="602"/>
        <w:rPr>
          <w:b/>
          <w:bCs/>
          <w:highlight w:val="none"/>
        </w:rPr>
      </w:pPr>
      <w:r>
        <w:rPr>
          <w:rFonts w:hint="eastAsia"/>
          <w:b/>
          <w:bCs/>
          <w:highlight w:val="none"/>
        </w:rPr>
        <w:t>邮箱：</w:t>
      </w:r>
    </w:p>
    <w:p>
      <w:pPr>
        <w:pStyle w:val="5"/>
        <w:ind w:firstLine="602"/>
        <w:rPr>
          <w:b/>
          <w:bCs/>
          <w:highlight w:val="none"/>
        </w:rPr>
      </w:pPr>
      <w:r>
        <w:rPr>
          <w:rFonts w:hint="eastAsia"/>
          <w:b/>
          <w:bCs/>
          <w:highlight w:val="none"/>
        </w:rPr>
        <w:t xml:space="preserve">乙方（卖方）： </w:t>
      </w:r>
    </w:p>
    <w:p>
      <w:pPr>
        <w:pStyle w:val="5"/>
        <w:ind w:firstLine="602"/>
        <w:rPr>
          <w:b/>
          <w:bCs/>
          <w:highlight w:val="none"/>
        </w:rPr>
      </w:pPr>
      <w:r>
        <w:rPr>
          <w:rFonts w:hint="eastAsia"/>
          <w:b/>
          <w:bCs/>
          <w:highlight w:val="none"/>
        </w:rPr>
        <w:t>统一信用代码：</w:t>
      </w:r>
    </w:p>
    <w:p>
      <w:pPr>
        <w:pStyle w:val="5"/>
        <w:ind w:firstLine="602"/>
        <w:rPr>
          <w:b/>
          <w:bCs/>
          <w:highlight w:val="none"/>
        </w:rPr>
      </w:pPr>
      <w:r>
        <w:rPr>
          <w:rFonts w:hint="eastAsia"/>
          <w:b/>
          <w:bCs/>
          <w:highlight w:val="none"/>
        </w:rPr>
        <w:t>送达地址：</w:t>
      </w:r>
    </w:p>
    <w:p>
      <w:pPr>
        <w:pStyle w:val="5"/>
        <w:ind w:firstLine="602"/>
        <w:rPr>
          <w:b/>
          <w:bCs/>
          <w:highlight w:val="none"/>
        </w:rPr>
      </w:pPr>
      <w:r>
        <w:rPr>
          <w:rFonts w:hint="eastAsia"/>
          <w:b/>
          <w:bCs/>
          <w:highlight w:val="none"/>
        </w:rPr>
        <w:t xml:space="preserve">联系人： </w:t>
      </w:r>
    </w:p>
    <w:p>
      <w:pPr>
        <w:pStyle w:val="5"/>
        <w:ind w:firstLine="602"/>
        <w:rPr>
          <w:b/>
          <w:bCs/>
          <w:highlight w:val="none"/>
        </w:rPr>
      </w:pPr>
      <w:r>
        <w:rPr>
          <w:rFonts w:hint="eastAsia"/>
          <w:b/>
          <w:bCs/>
          <w:highlight w:val="none"/>
        </w:rPr>
        <w:t>联系电话：</w:t>
      </w:r>
    </w:p>
    <w:p>
      <w:pPr>
        <w:pStyle w:val="5"/>
        <w:ind w:firstLine="602"/>
        <w:rPr>
          <w:b/>
          <w:bCs/>
          <w:highlight w:val="none"/>
        </w:rPr>
      </w:pPr>
      <w:r>
        <w:rPr>
          <w:rFonts w:hint="eastAsia"/>
          <w:b/>
          <w:bCs/>
          <w:highlight w:val="none"/>
        </w:rPr>
        <w:t>邮箱：</w:t>
      </w:r>
    </w:p>
    <w:p>
      <w:pPr>
        <w:pStyle w:val="5"/>
        <w:ind w:firstLine="602"/>
        <w:rPr>
          <w:b/>
          <w:bCs/>
          <w:highlight w:val="none"/>
        </w:rPr>
      </w:pPr>
      <w:r>
        <w:rPr>
          <w:rFonts w:hint="eastAsia"/>
          <w:b/>
          <w:bCs/>
          <w:highlight w:val="none"/>
        </w:rPr>
        <w:t xml:space="preserve">签订地点： </w:t>
      </w:r>
    </w:p>
    <w:p>
      <w:pPr>
        <w:pStyle w:val="5"/>
        <w:ind w:firstLine="602"/>
        <w:rPr>
          <w:b/>
          <w:bCs/>
          <w:highlight w:val="none"/>
        </w:rPr>
      </w:pPr>
      <w:r>
        <w:rPr>
          <w:rFonts w:hint="eastAsia"/>
          <w:b/>
          <w:bCs/>
          <w:highlight w:val="none"/>
        </w:rPr>
        <w:t>签订时间：</w:t>
      </w:r>
      <w:r>
        <w:rPr>
          <w:rFonts w:hint="eastAsia"/>
          <w:b/>
          <w:bCs/>
          <w:highlight w:val="none"/>
          <w:u w:val="single"/>
        </w:rPr>
        <w:t xml:space="preserve">    </w:t>
      </w:r>
      <w:r>
        <w:rPr>
          <w:rFonts w:hint="eastAsia"/>
          <w:b/>
          <w:bCs/>
          <w:highlight w:val="none"/>
        </w:rPr>
        <w:t>年</w:t>
      </w:r>
      <w:r>
        <w:rPr>
          <w:rFonts w:hint="eastAsia"/>
          <w:b/>
          <w:bCs/>
          <w:highlight w:val="none"/>
          <w:u w:val="single"/>
        </w:rPr>
        <w:t xml:space="preserve">  </w:t>
      </w:r>
      <w:r>
        <w:rPr>
          <w:rFonts w:hint="eastAsia"/>
          <w:b/>
          <w:bCs/>
          <w:highlight w:val="none"/>
        </w:rPr>
        <w:t>月</w:t>
      </w:r>
      <w:r>
        <w:rPr>
          <w:rFonts w:hint="eastAsia"/>
          <w:b/>
          <w:bCs/>
          <w:highlight w:val="none"/>
          <w:u w:val="single"/>
        </w:rPr>
        <w:t xml:space="preserve">  </w:t>
      </w:r>
      <w:r>
        <w:rPr>
          <w:rFonts w:hint="eastAsia"/>
          <w:b/>
          <w:bCs/>
          <w:highlight w:val="none"/>
        </w:rPr>
        <w:t>日</w:t>
      </w:r>
    </w:p>
    <w:p>
      <w:pPr>
        <w:pStyle w:val="5"/>
        <w:ind w:firstLine="600"/>
        <w:rPr>
          <w:highlight w:val="none"/>
        </w:rPr>
      </w:pPr>
    </w:p>
    <w:p>
      <w:pPr>
        <w:pStyle w:val="5"/>
        <w:ind w:firstLine="600"/>
        <w:rPr>
          <w:rFonts w:hAnsi="仿宋_GB2312"/>
          <w:highlight w:val="none"/>
        </w:rPr>
      </w:pPr>
      <w:r>
        <w:rPr>
          <w:rFonts w:hint="eastAsia" w:hAnsi="仿宋_GB2312"/>
          <w:highlight w:val="none"/>
        </w:rPr>
        <w:t>甲乙双方依照《中华人民共和国合同法》及相关法律、法规规定，本着平等、自愿的原则，经友好协商，现就甲方向乙方购买</w:t>
      </w:r>
      <w:r>
        <w:rPr>
          <w:rFonts w:hint="eastAsia"/>
          <w:color w:val="auto"/>
          <w:highlight w:val="none"/>
          <w:u w:val="single"/>
        </w:rPr>
        <w:t xml:space="preserve"> T2、T3A航站楼零星植物及花器</w:t>
      </w:r>
      <w:r>
        <w:rPr>
          <w:rFonts w:hint="eastAsia" w:hAnsi="仿宋_GB2312"/>
          <w:highlight w:val="none"/>
        </w:rPr>
        <w:t>（并安装调试及售后）</w:t>
      </w:r>
      <w:r>
        <w:rPr>
          <w:rFonts w:hAnsi="仿宋_GB2312"/>
          <w:highlight w:val="none"/>
        </w:rPr>
        <w:t>事宜达成一致，签订本</w:t>
      </w:r>
      <w:r>
        <w:rPr>
          <w:rFonts w:hint="eastAsia" w:hAnsi="仿宋_GB2312"/>
          <w:highlight w:val="none"/>
        </w:rPr>
        <w:t>协议：</w:t>
      </w:r>
    </w:p>
    <w:p>
      <w:pPr>
        <w:pStyle w:val="4"/>
        <w:ind w:firstLine="643"/>
        <w:rPr>
          <w:highlight w:val="none"/>
        </w:rPr>
      </w:pPr>
      <w:bookmarkStart w:id="239" w:name="_Toc11333"/>
      <w:bookmarkStart w:id="240" w:name="_Toc29170"/>
      <w:bookmarkStart w:id="241" w:name="_Toc8540"/>
      <w:bookmarkStart w:id="242" w:name="_Toc20473"/>
      <w:r>
        <w:rPr>
          <w:highlight w:val="none"/>
        </w:rPr>
        <w:t>第</w:t>
      </w:r>
      <w:r>
        <w:rPr>
          <w:rFonts w:hint="eastAsia"/>
          <w:highlight w:val="none"/>
        </w:rPr>
        <w:t>一</w:t>
      </w:r>
      <w:r>
        <w:rPr>
          <w:highlight w:val="none"/>
        </w:rPr>
        <w:t xml:space="preserve">条 </w:t>
      </w:r>
      <w:r>
        <w:rPr>
          <w:rFonts w:hint="eastAsia"/>
          <w:highlight w:val="none"/>
          <w:lang w:eastAsia="zh-CN"/>
        </w:rPr>
        <w:t>产品</w:t>
      </w:r>
      <w:r>
        <w:rPr>
          <w:highlight w:val="none"/>
        </w:rPr>
        <w:t>名称、数量及规格</w:t>
      </w:r>
      <w:bookmarkEnd w:id="239"/>
      <w:bookmarkEnd w:id="240"/>
      <w:bookmarkEnd w:id="241"/>
      <w:bookmarkEnd w:id="242"/>
    </w:p>
    <w:p>
      <w:pPr>
        <w:pStyle w:val="5"/>
        <w:ind w:firstLine="600"/>
        <w:rPr>
          <w:highlight w:val="none"/>
        </w:rPr>
      </w:pPr>
      <w:r>
        <w:rPr>
          <w:rFonts w:hint="eastAsia"/>
          <w:highlight w:val="none"/>
        </w:rPr>
        <w:t>1</w:t>
      </w:r>
      <w:r>
        <w:rPr>
          <w:highlight w:val="none"/>
        </w:rPr>
        <w:t>.1</w:t>
      </w:r>
      <w:r>
        <w:rPr>
          <w:rFonts w:hint="eastAsia"/>
          <w:highlight w:val="none"/>
          <w:lang w:val="en-US" w:eastAsia="zh-CN"/>
        </w:rPr>
        <w:t xml:space="preserve"> </w:t>
      </w:r>
      <w:r>
        <w:rPr>
          <w:highlight w:val="none"/>
        </w:rPr>
        <w:t>本合同</w:t>
      </w:r>
      <w:r>
        <w:rPr>
          <w:rFonts w:hint="eastAsia"/>
          <w:highlight w:val="none"/>
        </w:rPr>
        <w:t>项下乙方所供</w:t>
      </w:r>
      <w:r>
        <w:rPr>
          <w:highlight w:val="none"/>
        </w:rPr>
        <w:t>货物</w:t>
      </w:r>
      <w:r>
        <w:rPr>
          <w:rFonts w:hint="eastAsia"/>
          <w:highlight w:val="none"/>
        </w:rPr>
        <w:t>情况</w:t>
      </w:r>
      <w:r>
        <w:rPr>
          <w:highlight w:val="none"/>
        </w:rPr>
        <w:t>如下：</w:t>
      </w:r>
    </w:p>
    <w:p>
      <w:pPr>
        <w:pStyle w:val="5"/>
        <w:ind w:firstLine="600"/>
        <w:rPr>
          <w:highlight w:val="none"/>
        </w:rPr>
      </w:pPr>
      <w:r>
        <w:rPr>
          <w:rFonts w:hint="eastAsia"/>
          <w:highlight w:val="none"/>
        </w:rPr>
        <w:t xml:space="preserve"> T2、T3A航站楼零星植物及花器采购项目需求表</w:t>
      </w:r>
    </w:p>
    <w:tbl>
      <w:tblPr>
        <w:tblStyle w:val="27"/>
        <w:tblW w:w="1000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35"/>
        <w:gridCol w:w="1596"/>
        <w:gridCol w:w="1243"/>
        <w:gridCol w:w="793"/>
        <w:gridCol w:w="726"/>
        <w:gridCol w:w="1140"/>
        <w:gridCol w:w="133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22" w:type="dxa"/>
            <w:vMerge w:val="restart"/>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T2</w:t>
            </w:r>
          </w:p>
        </w:tc>
        <w:tc>
          <w:tcPr>
            <w:tcW w:w="83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序号</w:t>
            </w:r>
          </w:p>
        </w:tc>
        <w:tc>
          <w:tcPr>
            <w:tcW w:w="1596"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产品名称</w:t>
            </w:r>
          </w:p>
        </w:tc>
        <w:tc>
          <w:tcPr>
            <w:tcW w:w="1243"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规格</w:t>
            </w:r>
          </w:p>
        </w:tc>
        <w:tc>
          <w:tcPr>
            <w:tcW w:w="793"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数量</w:t>
            </w:r>
          </w:p>
        </w:tc>
        <w:tc>
          <w:tcPr>
            <w:tcW w:w="726"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单位</w:t>
            </w:r>
          </w:p>
        </w:tc>
        <w:tc>
          <w:tcPr>
            <w:tcW w:w="1140"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单价</w:t>
            </w:r>
          </w:p>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（不含税）</w:t>
            </w:r>
          </w:p>
        </w:tc>
        <w:tc>
          <w:tcPr>
            <w:tcW w:w="133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图示</w:t>
            </w:r>
          </w:p>
        </w:tc>
        <w:tc>
          <w:tcPr>
            <w:tcW w:w="181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H30cm*30cm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蝴蝶兰（粉红色）</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跳舞兰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龙舌兰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五彩千年木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H120-180cm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9</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针葵</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老桩多头龙血树（五头以上）</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滴水观音</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H160-180cm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哑光红色花器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H60cm*R50cm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哑光黑色花器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H60cm*R50cm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托盘（大）</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D40cm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套盆</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restart"/>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T3A</w:t>
            </w: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一品红</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变叶木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万年青</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H40-45cm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西洋杜鹃</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凤梨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玻璃钢花器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L200-300cm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玻璃钢花器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H100-120cm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栅栏</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米</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组合花架</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H85-120cm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五彩千年木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H120-180cm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针葵</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老桩多头龙血树（五头以上）</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滴水观音</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H160-180cm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50*30cm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蝴蝶兰（粉红色）</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跳舞兰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仙客来</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菊花</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仿真花</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束</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幸福树</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绿萝</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常青藤</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矾根</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红掌</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H60-70cm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海棠</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套盆</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托盘</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草皮</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0.5m^2</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平米</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球状红叶石楠</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球状小叶黄杨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大叶栀子花苗</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H30-40cm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w:t>
            </w:r>
          </w:p>
        </w:tc>
        <w:tc>
          <w:tcPr>
            <w:tcW w:w="159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24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9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2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合计</w:t>
            </w:r>
          </w:p>
        </w:tc>
        <w:tc>
          <w:tcPr>
            <w:tcW w:w="159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24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9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2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bl>
    <w:p>
      <w:pPr>
        <w:pStyle w:val="2"/>
        <w:jc w:val="both"/>
        <w:rPr>
          <w:highlight w:val="none"/>
        </w:rPr>
      </w:pPr>
      <w:bookmarkStart w:id="243" w:name="_Toc21791"/>
      <w:bookmarkStart w:id="244" w:name="_Toc13387"/>
      <w:bookmarkStart w:id="245" w:name="_Toc12594"/>
    </w:p>
    <w:p>
      <w:pPr>
        <w:pStyle w:val="4"/>
        <w:ind w:firstLine="643"/>
        <w:rPr>
          <w:highlight w:val="none"/>
        </w:rPr>
      </w:pPr>
      <w:bookmarkStart w:id="246" w:name="_Toc25969"/>
      <w:r>
        <w:rPr>
          <w:highlight w:val="none"/>
        </w:rPr>
        <w:t>第</w:t>
      </w:r>
      <w:r>
        <w:rPr>
          <w:rFonts w:hint="eastAsia"/>
          <w:highlight w:val="none"/>
        </w:rPr>
        <w:t>二</w:t>
      </w:r>
      <w:r>
        <w:rPr>
          <w:highlight w:val="none"/>
        </w:rPr>
        <w:t>条 合同价款</w:t>
      </w:r>
      <w:bookmarkEnd w:id="243"/>
      <w:bookmarkEnd w:id="244"/>
      <w:bookmarkEnd w:id="245"/>
      <w:bookmarkEnd w:id="246"/>
    </w:p>
    <w:p>
      <w:pPr>
        <w:pStyle w:val="5"/>
        <w:ind w:firstLine="600"/>
        <w:rPr>
          <w:color w:val="auto"/>
          <w:highlight w:val="none"/>
        </w:rPr>
      </w:pPr>
      <w:r>
        <w:rPr>
          <w:highlight w:val="none"/>
        </w:rPr>
        <w:t>2.</w:t>
      </w:r>
      <w:r>
        <w:rPr>
          <w:color w:val="auto"/>
          <w:highlight w:val="none"/>
        </w:rPr>
        <w:t>1 合同</w:t>
      </w:r>
      <w:r>
        <w:rPr>
          <w:rFonts w:hint="eastAsia"/>
          <w:color w:val="auto"/>
          <w:highlight w:val="none"/>
        </w:rPr>
        <w:t>金额</w:t>
      </w:r>
      <w:r>
        <w:rPr>
          <w:rFonts w:hint="eastAsia"/>
          <w:b/>
          <w:bCs/>
          <w:color w:val="auto"/>
          <w:highlight w:val="none"/>
          <w:u w:val="single"/>
        </w:rPr>
        <w:t>（不含增值税）</w:t>
      </w:r>
      <w:r>
        <w:rPr>
          <w:color w:val="auto"/>
          <w:highlight w:val="none"/>
        </w:rPr>
        <w:t>为人民币</w:t>
      </w:r>
      <w:r>
        <w:rPr>
          <w:color w:val="auto"/>
          <w:highlight w:val="none"/>
          <w:u w:val="single"/>
        </w:rPr>
        <w:t xml:space="preserve"> </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元整(大写</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w:t>
      </w:r>
      <w:r>
        <w:rPr>
          <w:rFonts w:hint="eastAsia"/>
          <w:color w:val="auto"/>
          <w:highlight w:val="none"/>
        </w:rPr>
        <w:t>；</w:t>
      </w:r>
      <w:r>
        <w:rPr>
          <w:color w:val="auto"/>
          <w:highlight w:val="none"/>
        </w:rPr>
        <w:t>合同</w:t>
      </w:r>
      <w:r>
        <w:rPr>
          <w:rFonts w:hint="eastAsia"/>
          <w:color w:val="auto"/>
          <w:highlight w:val="none"/>
        </w:rPr>
        <w:t>金额</w:t>
      </w:r>
      <w:r>
        <w:rPr>
          <w:rFonts w:hint="eastAsia"/>
          <w:b/>
          <w:bCs/>
          <w:color w:val="auto"/>
          <w:highlight w:val="none"/>
          <w:u w:val="single"/>
        </w:rPr>
        <w:t>（含增值税）</w:t>
      </w:r>
      <w:r>
        <w:rPr>
          <w:color w:val="auto"/>
          <w:highlight w:val="none"/>
        </w:rPr>
        <w:t>为人民币</w:t>
      </w:r>
      <w:r>
        <w:rPr>
          <w:rFonts w:ascii="Calibri" w:hAnsi="Calibri" w:cs="Calibri"/>
          <w:color w:val="auto"/>
          <w:highlight w:val="none"/>
          <w:u w:val="single"/>
        </w:rPr>
        <w:t> </w:t>
      </w:r>
      <w:r>
        <w:rPr>
          <w:color w:val="auto"/>
          <w:highlight w:val="none"/>
          <w:u w:val="single"/>
        </w:rPr>
        <w:t xml:space="preserve"> </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元整(大写</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w:t>
      </w:r>
      <w:r>
        <w:rPr>
          <w:rFonts w:hint="eastAsia"/>
          <w:color w:val="auto"/>
          <w:highlight w:val="none"/>
        </w:rPr>
        <w:t>；</w:t>
      </w:r>
    </w:p>
    <w:p>
      <w:pPr>
        <w:pStyle w:val="5"/>
        <w:ind w:firstLine="600"/>
        <w:rPr>
          <w:rFonts w:hint="eastAsia"/>
          <w:highlight w:val="none"/>
          <w:lang w:val="en-US" w:eastAsia="zh-CN"/>
        </w:rPr>
      </w:pPr>
      <w:bookmarkStart w:id="247" w:name="_Toc24064"/>
      <w:r>
        <w:rPr>
          <w:highlight w:val="none"/>
          <w:lang w:val="en-US" w:eastAsia="zh-CN"/>
        </w:rPr>
        <w:t>2.2 合同价款含</w:t>
      </w:r>
      <w:r>
        <w:rPr>
          <w:rFonts w:hint="default"/>
          <w:highlight w:val="none"/>
          <w:lang w:val="en-US" w:eastAsia="zh-CN"/>
        </w:rPr>
        <w:t>乙方</w:t>
      </w:r>
      <w:r>
        <w:rPr>
          <w:rFonts w:hint="eastAsia"/>
          <w:highlight w:val="none"/>
          <w:lang w:val="en-US" w:eastAsia="zh-CN"/>
        </w:rPr>
        <w:t>供应所需的样品、人工、运输、设置、养护、除渣及质量保证、证件办理等所有费用。</w:t>
      </w:r>
    </w:p>
    <w:p>
      <w:pPr>
        <w:pStyle w:val="4"/>
        <w:ind w:firstLine="643"/>
        <w:rPr>
          <w:highlight w:val="none"/>
        </w:rPr>
      </w:pPr>
      <w:bookmarkStart w:id="248" w:name="_Toc18221"/>
      <w:bookmarkStart w:id="249" w:name="_Toc24534"/>
      <w:bookmarkStart w:id="250" w:name="_Toc4928"/>
      <w:r>
        <w:rPr>
          <w:rFonts w:hint="eastAsia"/>
          <w:highlight w:val="none"/>
        </w:rPr>
        <w:t>第三条 合同期限</w:t>
      </w:r>
      <w:bookmarkEnd w:id="247"/>
      <w:bookmarkEnd w:id="248"/>
      <w:bookmarkEnd w:id="249"/>
      <w:bookmarkEnd w:id="250"/>
    </w:p>
    <w:p>
      <w:pPr>
        <w:pStyle w:val="4"/>
        <w:ind w:firstLine="602"/>
        <w:rPr>
          <w:highlight w:val="none"/>
        </w:rPr>
      </w:pPr>
      <w:bookmarkStart w:id="251" w:name="_Toc412"/>
      <w:bookmarkStart w:id="252" w:name="_Toc2595"/>
      <w:bookmarkStart w:id="253" w:name="_Toc16161"/>
      <w:bookmarkStart w:id="254" w:name="_Toc28374"/>
      <w:r>
        <w:rPr>
          <w:rFonts w:hint="eastAsia" w:ascii="仿宋_GB2312" w:hAnsi="仿宋" w:eastAsia="仿宋_GB2312" w:cs="宋体"/>
          <w:color w:val="auto"/>
          <w:sz w:val="30"/>
          <w:szCs w:val="30"/>
          <w:highlight w:val="none"/>
        </w:rPr>
        <w:t>本合同期限为</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1</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年，自</w:t>
      </w:r>
      <w:r>
        <w:rPr>
          <w:rFonts w:hint="eastAsia" w:ascii="仿宋_GB2312" w:hAnsi="仿宋" w:eastAsia="仿宋_GB2312" w:cs="宋体"/>
          <w:color w:val="auto"/>
          <w:sz w:val="30"/>
          <w:szCs w:val="30"/>
          <w:highlight w:val="none"/>
          <w:u w:val="single"/>
        </w:rPr>
        <w:t xml:space="preserve"> 2020 </w:t>
      </w:r>
      <w:r>
        <w:rPr>
          <w:rFonts w:hint="eastAsia" w:ascii="仿宋_GB2312" w:hAnsi="仿宋" w:eastAsia="仿宋_GB2312" w:cs="宋体"/>
          <w:color w:val="auto"/>
          <w:sz w:val="30"/>
          <w:szCs w:val="30"/>
          <w:highlight w:val="none"/>
        </w:rPr>
        <w:t>年</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月</w:t>
      </w:r>
      <w:r>
        <w:rPr>
          <w:rFonts w:hint="eastAsia" w:ascii="仿宋_GB2312" w:hAnsi="仿宋" w:eastAsia="仿宋_GB2312" w:cs="宋体"/>
          <w:color w:val="auto"/>
          <w:sz w:val="30"/>
          <w:szCs w:val="30"/>
          <w:highlight w:val="none"/>
          <w:u w:val="single"/>
        </w:rPr>
        <w:t xml:space="preserve"> </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日起始至</w:t>
      </w:r>
      <w:r>
        <w:rPr>
          <w:rFonts w:hint="eastAsia" w:ascii="仿宋_GB2312" w:hAnsi="仿宋" w:eastAsia="仿宋_GB2312" w:cs="宋体"/>
          <w:color w:val="auto"/>
          <w:sz w:val="30"/>
          <w:szCs w:val="30"/>
          <w:highlight w:val="none"/>
          <w:u w:val="single"/>
        </w:rPr>
        <w:t xml:space="preserve"> 202</w:t>
      </w:r>
      <w:r>
        <w:rPr>
          <w:rFonts w:hint="eastAsia" w:ascii="仿宋_GB2312" w:hAnsi="仿宋" w:eastAsia="仿宋_GB2312" w:cs="宋体"/>
          <w:color w:val="auto"/>
          <w:sz w:val="30"/>
          <w:szCs w:val="30"/>
          <w:highlight w:val="none"/>
          <w:u w:val="single"/>
          <w:lang w:val="en-US" w:eastAsia="zh-CN"/>
        </w:rPr>
        <w:t>1</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年</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月</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日止。</w:t>
      </w:r>
      <w:bookmarkEnd w:id="251"/>
      <w:bookmarkEnd w:id="252"/>
      <w:bookmarkEnd w:id="253"/>
      <w:bookmarkEnd w:id="254"/>
    </w:p>
    <w:p>
      <w:pPr>
        <w:pStyle w:val="4"/>
        <w:ind w:firstLine="643"/>
        <w:rPr>
          <w:highlight w:val="none"/>
        </w:rPr>
      </w:pPr>
      <w:bookmarkStart w:id="255" w:name="_Toc23832"/>
      <w:bookmarkStart w:id="256" w:name="_Toc6397"/>
      <w:bookmarkStart w:id="257" w:name="_Toc3758"/>
      <w:bookmarkStart w:id="258" w:name="_Toc7320"/>
      <w:r>
        <w:rPr>
          <w:highlight w:val="none"/>
        </w:rPr>
        <w:t>第</w:t>
      </w:r>
      <w:r>
        <w:rPr>
          <w:rFonts w:hint="eastAsia"/>
          <w:highlight w:val="none"/>
        </w:rPr>
        <w:t>四</w:t>
      </w:r>
      <w:r>
        <w:rPr>
          <w:highlight w:val="none"/>
        </w:rPr>
        <w:t>条</w:t>
      </w:r>
      <w:r>
        <w:rPr>
          <w:rFonts w:hint="eastAsia"/>
          <w:highlight w:val="none"/>
        </w:rPr>
        <w:t xml:space="preserve"> </w:t>
      </w:r>
      <w:r>
        <w:rPr>
          <w:highlight w:val="none"/>
        </w:rPr>
        <w:t>技术标准及要求</w:t>
      </w:r>
      <w:bookmarkEnd w:id="255"/>
      <w:bookmarkEnd w:id="256"/>
      <w:bookmarkEnd w:id="257"/>
      <w:bookmarkEnd w:id="258"/>
    </w:p>
    <w:p>
      <w:pPr>
        <w:pStyle w:val="5"/>
        <w:ind w:firstLine="600"/>
        <w:rPr>
          <w:highlight w:val="none"/>
        </w:rPr>
      </w:pPr>
      <w:r>
        <w:rPr>
          <w:rFonts w:hint="eastAsia"/>
          <w:highlight w:val="none"/>
        </w:rPr>
        <w:t>4</w:t>
      </w:r>
      <w:r>
        <w:rPr>
          <w:highlight w:val="none"/>
        </w:rPr>
        <w:t>.1 乙方应严格按甲方要求，并符合有关国家标准和行业标准进行供货。</w:t>
      </w:r>
    </w:p>
    <w:p>
      <w:pPr>
        <w:pStyle w:val="5"/>
        <w:ind w:firstLine="600"/>
        <w:rPr>
          <w:highlight w:val="none"/>
        </w:rPr>
      </w:pPr>
      <w:r>
        <w:rPr>
          <w:rFonts w:hint="eastAsia"/>
          <w:highlight w:val="none"/>
        </w:rPr>
        <w:t>4</w:t>
      </w:r>
      <w:r>
        <w:rPr>
          <w:highlight w:val="none"/>
        </w:rPr>
        <w:t>.2 在质保期内的使用过程中，乙方应负责处理出现的缺陷和服务问题，所需费用由乙方承担，对于甲方操作失误造成的问题，乙方应积极配合，予以解决，费用由甲方承担。</w:t>
      </w:r>
    </w:p>
    <w:p>
      <w:pPr>
        <w:pStyle w:val="5"/>
        <w:ind w:firstLine="600"/>
        <w:rPr>
          <w:highlight w:val="none"/>
        </w:rPr>
      </w:pPr>
      <w:r>
        <w:rPr>
          <w:rFonts w:hint="eastAsia"/>
          <w:highlight w:val="none"/>
        </w:rPr>
        <w:t>4.3 乙方所提供的花器</w:t>
      </w:r>
      <w:r>
        <w:rPr>
          <w:rFonts w:hint="eastAsia"/>
          <w:highlight w:val="none"/>
          <w:lang w:eastAsia="zh-CN"/>
        </w:rPr>
        <w:t>、组合花架、仿真植物及壁挂维保期限</w:t>
      </w:r>
      <w:r>
        <w:rPr>
          <w:rFonts w:hint="eastAsia"/>
          <w:highlight w:val="none"/>
        </w:rPr>
        <w:t>为</w:t>
      </w:r>
      <w:r>
        <w:rPr>
          <w:rFonts w:hint="eastAsia"/>
          <w:highlight w:val="none"/>
          <w:u w:val="single"/>
        </w:rPr>
        <w:t xml:space="preserve"> </w:t>
      </w:r>
      <w:r>
        <w:rPr>
          <w:rFonts w:hint="eastAsia"/>
          <w:highlight w:val="none"/>
          <w:u w:val="single"/>
          <w:lang w:eastAsia="zh-CN"/>
        </w:rPr>
        <w:t>一</w:t>
      </w:r>
      <w:r>
        <w:rPr>
          <w:rFonts w:hint="eastAsia"/>
          <w:highlight w:val="none"/>
          <w:u w:val="single"/>
        </w:rPr>
        <w:t xml:space="preserve"> </w:t>
      </w:r>
      <w:r>
        <w:rPr>
          <w:rFonts w:hint="eastAsia"/>
          <w:highlight w:val="none"/>
        </w:rPr>
        <w:t>年，自</w:t>
      </w:r>
      <w:r>
        <w:rPr>
          <w:rFonts w:hint="eastAsia"/>
          <w:highlight w:val="none"/>
          <w:lang w:eastAsia="zh-CN"/>
        </w:rPr>
        <w:t>到货</w:t>
      </w:r>
      <w:r>
        <w:rPr>
          <w:rFonts w:hint="eastAsia"/>
          <w:highlight w:val="none"/>
        </w:rPr>
        <w:t>并验收合格之日起算。</w:t>
      </w:r>
    </w:p>
    <w:p>
      <w:pPr>
        <w:pStyle w:val="4"/>
        <w:ind w:firstLine="643"/>
        <w:rPr>
          <w:color w:val="auto"/>
          <w:highlight w:val="none"/>
        </w:rPr>
      </w:pPr>
      <w:bookmarkStart w:id="259" w:name="_Toc24108"/>
      <w:bookmarkStart w:id="260" w:name="_Toc27941"/>
      <w:bookmarkStart w:id="261" w:name="_Toc2675"/>
      <w:bookmarkStart w:id="262" w:name="_Toc29166"/>
      <w:r>
        <w:rPr>
          <w:color w:val="auto"/>
          <w:highlight w:val="none"/>
        </w:rPr>
        <w:t>第</w:t>
      </w:r>
      <w:r>
        <w:rPr>
          <w:rFonts w:hint="eastAsia"/>
          <w:color w:val="auto"/>
          <w:highlight w:val="none"/>
        </w:rPr>
        <w:t>五</w:t>
      </w:r>
      <w:r>
        <w:rPr>
          <w:color w:val="auto"/>
          <w:highlight w:val="none"/>
        </w:rPr>
        <w:t>条 交货日期、方式和地点</w:t>
      </w:r>
      <w:bookmarkEnd w:id="259"/>
      <w:bookmarkEnd w:id="260"/>
      <w:bookmarkEnd w:id="261"/>
      <w:bookmarkEnd w:id="262"/>
    </w:p>
    <w:p>
      <w:pPr>
        <w:pStyle w:val="5"/>
        <w:ind w:firstLine="600"/>
        <w:rPr>
          <w:color w:val="auto"/>
          <w:highlight w:val="none"/>
        </w:rPr>
      </w:pPr>
      <w:r>
        <w:rPr>
          <w:rFonts w:hint="eastAsia"/>
          <w:color w:val="auto"/>
          <w:highlight w:val="none"/>
        </w:rPr>
        <w:t>5</w:t>
      </w:r>
      <w:r>
        <w:rPr>
          <w:color w:val="auto"/>
          <w:highlight w:val="none"/>
        </w:rPr>
        <w:t xml:space="preserve">.1 </w:t>
      </w:r>
      <w:r>
        <w:rPr>
          <w:rFonts w:hint="eastAsia"/>
          <w:color w:val="auto"/>
          <w:highlight w:val="none"/>
        </w:rPr>
        <w:t>交货期限：</w:t>
      </w:r>
      <w:r>
        <w:rPr>
          <w:color w:val="auto"/>
          <w:highlight w:val="none"/>
        </w:rPr>
        <w:t>合同签订后，</w:t>
      </w:r>
      <w:r>
        <w:rPr>
          <w:rFonts w:hint="eastAsia"/>
          <w:color w:val="auto"/>
          <w:highlight w:val="none"/>
        </w:rPr>
        <w:t>乙方自合同签订之日起一年内按甲方需求提供植物、花器及仿真植物等。鲜活植物类每月根据甲方要求分批送货，如遇临时保障等特殊情况应按甲方要求提供应急送货服务。花器、仿真植物类按需送货（如花器等需安装的货品，以安装完成，并正常使用为完成交货义务）。</w:t>
      </w:r>
    </w:p>
    <w:p>
      <w:pPr>
        <w:pStyle w:val="5"/>
        <w:ind w:firstLine="600"/>
        <w:rPr>
          <w:color w:val="auto"/>
          <w:highlight w:val="none"/>
        </w:rPr>
      </w:pPr>
      <w:r>
        <w:rPr>
          <w:rFonts w:hint="eastAsia"/>
          <w:color w:val="auto"/>
          <w:highlight w:val="none"/>
        </w:rPr>
        <w:t>5.2 交货地点：供货地点由甲方指定。</w:t>
      </w:r>
    </w:p>
    <w:p>
      <w:pPr>
        <w:pStyle w:val="5"/>
        <w:ind w:firstLine="600"/>
        <w:rPr>
          <w:color w:val="auto"/>
          <w:highlight w:val="none"/>
        </w:rPr>
      </w:pPr>
      <w:r>
        <w:rPr>
          <w:rFonts w:hint="eastAsia"/>
          <w:color w:val="auto"/>
          <w:highlight w:val="none"/>
        </w:rPr>
        <w:t>5.3 交货方式：乙方收到供货信息后，严格按照甲方指定的时段及航站楼内指定的路线，在3-5天内送达指定地点。</w:t>
      </w:r>
    </w:p>
    <w:p>
      <w:pPr>
        <w:pStyle w:val="5"/>
        <w:ind w:firstLine="600"/>
        <w:rPr>
          <w:highlight w:val="none"/>
        </w:rPr>
      </w:pPr>
      <w:r>
        <w:rPr>
          <w:rFonts w:hint="eastAsia"/>
          <w:color w:val="auto"/>
          <w:highlight w:val="none"/>
        </w:rPr>
        <w:t>5.4 如因季节原因等乙方不能提供的产品，乙方应在甲方下订单后一天内通知甲方，乙方</w:t>
      </w:r>
      <w:r>
        <w:rPr>
          <w:rFonts w:hint="eastAsia"/>
          <w:color w:val="auto"/>
          <w:highlight w:val="none"/>
          <w:lang w:eastAsia="zh-CN"/>
        </w:rPr>
        <w:t>经甲方同意后</w:t>
      </w:r>
      <w:r>
        <w:rPr>
          <w:rFonts w:hint="eastAsia"/>
          <w:color w:val="auto"/>
          <w:highlight w:val="none"/>
        </w:rPr>
        <w:t>可根据季节特点调整</w:t>
      </w:r>
      <w:r>
        <w:rPr>
          <w:rFonts w:hint="eastAsia"/>
          <w:color w:val="auto"/>
          <w:highlight w:val="none"/>
          <w:lang w:eastAsia="zh-CN"/>
        </w:rPr>
        <w:t>“</w:t>
      </w:r>
      <w:r>
        <w:rPr>
          <w:rFonts w:hint="eastAsia"/>
          <w:highlight w:val="none"/>
        </w:rPr>
        <w:t>T2、T3A航站楼零星植物及花器采购项目需求表</w:t>
      </w:r>
      <w:r>
        <w:rPr>
          <w:rFonts w:hint="eastAsia"/>
          <w:color w:val="auto"/>
          <w:highlight w:val="none"/>
          <w:lang w:eastAsia="zh-CN"/>
        </w:rPr>
        <w:t>”</w:t>
      </w:r>
      <w:r>
        <w:rPr>
          <w:rFonts w:hint="eastAsia"/>
          <w:color w:val="auto"/>
          <w:highlight w:val="none"/>
        </w:rPr>
        <w:t>的其他货品，调整数量不超过单次供货总量的10%。</w:t>
      </w:r>
    </w:p>
    <w:p>
      <w:pPr>
        <w:pStyle w:val="4"/>
        <w:ind w:firstLine="643"/>
        <w:rPr>
          <w:highlight w:val="none"/>
        </w:rPr>
      </w:pPr>
      <w:bookmarkStart w:id="263" w:name="_Toc28817"/>
      <w:bookmarkStart w:id="264" w:name="_Toc21425"/>
      <w:bookmarkStart w:id="265" w:name="_Toc25079"/>
      <w:bookmarkStart w:id="266" w:name="_Toc21230"/>
      <w:r>
        <w:rPr>
          <w:rFonts w:hint="eastAsia"/>
          <w:highlight w:val="none"/>
        </w:rPr>
        <w:t>第六条 质量要求与售后服务</w:t>
      </w:r>
      <w:bookmarkEnd w:id="263"/>
      <w:bookmarkEnd w:id="264"/>
      <w:bookmarkEnd w:id="265"/>
      <w:bookmarkEnd w:id="266"/>
    </w:p>
    <w:p>
      <w:pPr>
        <w:pStyle w:val="5"/>
        <w:ind w:firstLine="600"/>
        <w:rPr>
          <w:highlight w:val="none"/>
        </w:rPr>
      </w:pPr>
      <w:r>
        <w:rPr>
          <w:rFonts w:hint="eastAsia"/>
          <w:highlight w:val="none"/>
        </w:rPr>
        <w:t>6.1 乙方保证所供产品的质量符合本合同约定之标准，并承诺产品来源合法，不侵犯他人权益。属产品类的，所供产品应附有相关产品说明和合格证，对于进口产品，甲方有权要求乙方提供报关单及海关检验证明等资料。否则，甲方有权采取拒收、退货、更换等措施。</w:t>
      </w:r>
    </w:p>
    <w:p>
      <w:pPr>
        <w:pStyle w:val="5"/>
        <w:ind w:firstLine="600"/>
        <w:rPr>
          <w:highlight w:val="none"/>
        </w:rPr>
      </w:pPr>
      <w:r>
        <w:rPr>
          <w:rFonts w:hint="eastAsia"/>
          <w:highlight w:val="none"/>
        </w:rPr>
        <w:t>6.2 植物鲜活、枝叶茂盛、无枯枝败叶等情况。</w:t>
      </w:r>
    </w:p>
    <w:p>
      <w:pPr>
        <w:pStyle w:val="5"/>
        <w:ind w:firstLine="600"/>
        <w:rPr>
          <w:highlight w:val="none"/>
        </w:rPr>
      </w:pPr>
      <w:r>
        <w:rPr>
          <w:rFonts w:hint="eastAsia"/>
          <w:highlight w:val="none"/>
        </w:rPr>
        <w:t>6.3 植物无病虫害，须在航站楼外除虫预防后进入楼内使用。</w:t>
      </w:r>
    </w:p>
    <w:p>
      <w:pPr>
        <w:pStyle w:val="5"/>
        <w:ind w:firstLine="600"/>
        <w:rPr>
          <w:highlight w:val="none"/>
        </w:rPr>
      </w:pPr>
      <w:r>
        <w:rPr>
          <w:rFonts w:hint="eastAsia"/>
          <w:highlight w:val="none"/>
        </w:rPr>
        <w:t>6.4 仿真植物须进行防火处理（喷洒B1级防火剂并做好台账记录以供甲方检查）后进入楼内使用。</w:t>
      </w:r>
    </w:p>
    <w:p>
      <w:pPr>
        <w:pStyle w:val="5"/>
        <w:ind w:firstLine="600"/>
        <w:rPr>
          <w:highlight w:val="none"/>
        </w:rPr>
      </w:pPr>
      <w:r>
        <w:rPr>
          <w:rFonts w:hint="eastAsia"/>
          <w:highlight w:val="none"/>
        </w:rPr>
        <w:t>6.5 同一批次、同一品种的植物应冠高、冠形及花朵枝叶数量基本一致，尺寸相差不超过10%。</w:t>
      </w:r>
    </w:p>
    <w:p>
      <w:pPr>
        <w:pStyle w:val="5"/>
        <w:ind w:firstLine="600"/>
        <w:rPr>
          <w:highlight w:val="none"/>
        </w:rPr>
      </w:pPr>
      <w:r>
        <w:rPr>
          <w:rFonts w:hint="eastAsia"/>
          <w:highlight w:val="none"/>
        </w:rPr>
        <w:t>6.6 花器、仿真植物等需根据甲方要求提供样品，如因样品质量、效果等不符合甲方要求，所有退货及运输费用由乙方自理。</w:t>
      </w:r>
    </w:p>
    <w:p>
      <w:pPr>
        <w:pStyle w:val="5"/>
        <w:ind w:firstLine="600"/>
        <w:rPr>
          <w:highlight w:val="none"/>
        </w:rPr>
      </w:pPr>
      <w:r>
        <w:rPr>
          <w:rFonts w:hint="eastAsia"/>
          <w:highlight w:val="none"/>
        </w:rPr>
        <w:t>6.7</w:t>
      </w:r>
      <w:r>
        <w:rPr>
          <w:rFonts w:hint="eastAsia"/>
          <w:highlight w:val="none"/>
          <w:lang w:val="en-US" w:eastAsia="zh-CN"/>
        </w:rPr>
        <w:t xml:space="preserve"> </w:t>
      </w:r>
      <w:r>
        <w:rPr>
          <w:rFonts w:hint="eastAsia"/>
          <w:highlight w:val="none"/>
        </w:rPr>
        <w:t>花器表面不允许有碰伤、变形、表面应平整无边角翘起、折弯现象，不能有成片的小颗粒、杂质、凹坑、气泡、划痕，整体颜色、花纹应一致，无明显色差，外表面及内部不存在任何危及使用人安全的尖锐突出物。</w:t>
      </w:r>
    </w:p>
    <w:p>
      <w:pPr>
        <w:pStyle w:val="5"/>
        <w:ind w:firstLine="600"/>
        <w:rPr>
          <w:highlight w:val="none"/>
        </w:rPr>
      </w:pPr>
      <w:r>
        <w:rPr>
          <w:rFonts w:hint="eastAsia"/>
          <w:highlight w:val="none"/>
        </w:rPr>
        <w:t>6.8</w:t>
      </w:r>
      <w:r>
        <w:rPr>
          <w:rFonts w:hint="eastAsia"/>
          <w:highlight w:val="none"/>
          <w:lang w:val="en-US" w:eastAsia="zh-CN"/>
        </w:rPr>
        <w:t xml:space="preserve"> </w:t>
      </w:r>
      <w:r>
        <w:rPr>
          <w:rFonts w:hint="eastAsia"/>
          <w:highlight w:val="none"/>
        </w:rPr>
        <w:t>乙方必须有专人负责该项目实施，提供全方位服务，</w:t>
      </w:r>
      <w:r>
        <w:rPr>
          <w:rFonts w:hint="eastAsia" w:ascii="宋体" w:hAnsi="宋体"/>
          <w:color w:val="auto"/>
          <w:highlight w:val="none"/>
        </w:rPr>
        <w:t>包括提供样品、人工、运输、设置、养护、除渣等全过程工作。</w:t>
      </w:r>
      <w:r>
        <w:rPr>
          <w:rFonts w:hint="eastAsia"/>
          <w:highlight w:val="none"/>
        </w:rPr>
        <w:t>乙方应提供有效的联系人和联系电话，保证24小时通讯畅通。如有变更，乙方应及时、主动通知甲方。</w:t>
      </w:r>
    </w:p>
    <w:p>
      <w:pPr>
        <w:pStyle w:val="5"/>
        <w:ind w:firstLine="600"/>
        <w:rPr>
          <w:highlight w:val="none"/>
        </w:rPr>
      </w:pPr>
      <w:r>
        <w:rPr>
          <w:rFonts w:hint="eastAsia"/>
          <w:highlight w:val="none"/>
        </w:rPr>
        <w:t>6.9</w:t>
      </w:r>
      <w:r>
        <w:rPr>
          <w:rFonts w:hint="eastAsia"/>
          <w:highlight w:val="none"/>
          <w:lang w:val="en-US" w:eastAsia="zh-CN"/>
        </w:rPr>
        <w:t xml:space="preserve"> </w:t>
      </w:r>
      <w:r>
        <w:rPr>
          <w:rFonts w:hint="eastAsia"/>
          <w:highlight w:val="none"/>
        </w:rPr>
        <w:t>乙方每半月至少对</w:t>
      </w:r>
      <w:r>
        <w:rPr>
          <w:rFonts w:hint="eastAsia"/>
          <w:highlight w:val="none"/>
          <w:lang w:eastAsia="zh-CN"/>
        </w:rPr>
        <w:t>提供</w:t>
      </w:r>
      <w:r>
        <w:rPr>
          <w:rFonts w:hint="eastAsia"/>
          <w:highlight w:val="none"/>
        </w:rPr>
        <w:t>的零星植物、花器及仿真植物等进行一次全覆盖的检查及养护工作。</w:t>
      </w:r>
    </w:p>
    <w:p>
      <w:pPr>
        <w:pStyle w:val="5"/>
        <w:ind w:firstLine="600"/>
        <w:rPr>
          <w:highlight w:val="none"/>
        </w:rPr>
      </w:pPr>
      <w:r>
        <w:rPr>
          <w:rFonts w:hint="eastAsia"/>
          <w:highlight w:val="none"/>
        </w:rPr>
        <w:t>6.1</w:t>
      </w:r>
      <w:r>
        <w:rPr>
          <w:rFonts w:hint="eastAsia"/>
          <w:highlight w:val="none"/>
          <w:lang w:val="en-US" w:eastAsia="zh-CN"/>
        </w:rPr>
        <w:t xml:space="preserve">0 </w:t>
      </w:r>
      <w:r>
        <w:rPr>
          <w:rFonts w:hint="eastAsia"/>
          <w:highlight w:val="none"/>
        </w:rPr>
        <w:t>乙方提供的产品在保修期内，非人为因素造成的损坏、脱落情况，由乙方根据甲方要求进行免费维修或更换；人为因素造成的损坏、脱落等情况，由乙方进行有偿维修或更换。</w:t>
      </w:r>
    </w:p>
    <w:p>
      <w:pPr>
        <w:pStyle w:val="5"/>
        <w:ind w:firstLine="600"/>
        <w:rPr>
          <w:highlight w:val="none"/>
        </w:rPr>
      </w:pPr>
      <w:r>
        <w:rPr>
          <w:rFonts w:hint="eastAsia"/>
          <w:highlight w:val="none"/>
        </w:rPr>
        <w:t>6.11</w:t>
      </w:r>
      <w:r>
        <w:rPr>
          <w:rFonts w:hint="eastAsia"/>
          <w:highlight w:val="none"/>
          <w:lang w:val="en-US" w:eastAsia="zh-CN"/>
        </w:rPr>
        <w:t xml:space="preserve"> </w:t>
      </w:r>
      <w:r>
        <w:rPr>
          <w:rFonts w:hint="eastAsia"/>
          <w:highlight w:val="none"/>
        </w:rPr>
        <w:t>如植物出现枯萎、不鲜活等情况，乙方须在两天之内完成更换工作且由甲方确认。</w:t>
      </w:r>
    </w:p>
    <w:p>
      <w:pPr>
        <w:pStyle w:val="4"/>
        <w:numPr>
          <w:ilvl w:val="0"/>
          <w:numId w:val="4"/>
        </w:numPr>
        <w:ind w:firstLine="643"/>
        <w:rPr>
          <w:highlight w:val="none"/>
        </w:rPr>
      </w:pPr>
      <w:bookmarkStart w:id="267" w:name="_Toc5880"/>
      <w:bookmarkStart w:id="268" w:name="_Toc19061"/>
      <w:bookmarkStart w:id="269" w:name="_Toc14771"/>
      <w:bookmarkStart w:id="270" w:name="_Toc10105"/>
      <w:r>
        <w:rPr>
          <w:rFonts w:hint="eastAsia"/>
          <w:highlight w:val="none"/>
        </w:rPr>
        <w:t>应急采购</w:t>
      </w:r>
      <w:bookmarkEnd w:id="267"/>
      <w:bookmarkEnd w:id="268"/>
      <w:bookmarkEnd w:id="269"/>
      <w:bookmarkEnd w:id="270"/>
    </w:p>
    <w:p>
      <w:pPr>
        <w:pStyle w:val="5"/>
        <w:ind w:firstLine="600"/>
        <w:rPr>
          <w:highlight w:val="none"/>
        </w:rPr>
      </w:pPr>
      <w:r>
        <w:rPr>
          <w:rFonts w:hint="eastAsia"/>
          <w:highlight w:val="none"/>
        </w:rPr>
        <w:t>7.1</w:t>
      </w:r>
      <w:r>
        <w:rPr>
          <w:rFonts w:hint="eastAsia"/>
          <w:highlight w:val="none"/>
          <w:lang w:val="en-US" w:eastAsia="zh-CN"/>
        </w:rPr>
        <w:t xml:space="preserve"> </w:t>
      </w:r>
      <w:r>
        <w:rPr>
          <w:rFonts w:hint="eastAsia"/>
          <w:highlight w:val="none"/>
        </w:rPr>
        <w:t>因甲方应急需要，超出合同约定供货范围，甲方可根据情况直接向乙方提出供货需求。乙方应按照同类产品市场最优惠价向甲方投标，由甲方进行选择并最终确定是否由乙方供货。乙方应保证补充产品符合本合同约定的品质及质量要求，并承担与原批次产品同等的送货安装及安全、售后报修等服务。乙方供货后，甲方根据书面订单与乙方进行金额结算。</w:t>
      </w:r>
    </w:p>
    <w:p>
      <w:pPr>
        <w:pStyle w:val="5"/>
        <w:ind w:firstLine="600"/>
        <w:rPr>
          <w:highlight w:val="none"/>
        </w:rPr>
      </w:pPr>
      <w:r>
        <w:rPr>
          <w:rFonts w:hint="eastAsia"/>
          <w:highlight w:val="none"/>
        </w:rPr>
        <w:t>7.2</w:t>
      </w:r>
      <w:r>
        <w:rPr>
          <w:rFonts w:hint="eastAsia"/>
          <w:highlight w:val="none"/>
          <w:lang w:val="en-US" w:eastAsia="zh-CN"/>
        </w:rPr>
        <w:t xml:space="preserve"> </w:t>
      </w:r>
      <w:r>
        <w:rPr>
          <w:rFonts w:hint="eastAsia"/>
          <w:highlight w:val="none"/>
        </w:rPr>
        <w:t>乙方收到甲方应急采购订单后，应在8个小时内保质保量将货品送抵甲方指定地点。</w:t>
      </w:r>
    </w:p>
    <w:p>
      <w:pPr>
        <w:pStyle w:val="4"/>
        <w:numPr>
          <w:ilvl w:val="0"/>
          <w:numId w:val="4"/>
        </w:numPr>
        <w:ind w:firstLine="643"/>
        <w:rPr>
          <w:highlight w:val="none"/>
        </w:rPr>
      </w:pPr>
      <w:bookmarkStart w:id="271" w:name="_Toc10700"/>
      <w:bookmarkStart w:id="272" w:name="_Toc6996"/>
      <w:bookmarkStart w:id="273" w:name="_Toc9429"/>
      <w:bookmarkStart w:id="274" w:name="_Toc280"/>
      <w:r>
        <w:rPr>
          <w:rFonts w:hint="eastAsia"/>
          <w:highlight w:val="none"/>
        </w:rPr>
        <w:t>包装和运输</w:t>
      </w:r>
      <w:bookmarkEnd w:id="271"/>
      <w:bookmarkEnd w:id="272"/>
      <w:bookmarkEnd w:id="273"/>
      <w:bookmarkEnd w:id="274"/>
    </w:p>
    <w:p>
      <w:pPr>
        <w:pStyle w:val="5"/>
        <w:ind w:firstLine="600"/>
        <w:rPr>
          <w:highlight w:val="none"/>
        </w:rPr>
      </w:pPr>
      <w:r>
        <w:rPr>
          <w:rFonts w:hint="eastAsia"/>
          <w:highlight w:val="none"/>
        </w:rPr>
        <w:t>8.1</w:t>
      </w:r>
      <w:r>
        <w:rPr>
          <w:rFonts w:hint="eastAsia"/>
          <w:highlight w:val="none"/>
          <w:lang w:val="en-US" w:eastAsia="zh-CN"/>
        </w:rPr>
        <w:t xml:space="preserve"> </w:t>
      </w:r>
      <w:r>
        <w:rPr>
          <w:rFonts w:hint="eastAsia"/>
          <w:highlight w:val="none"/>
        </w:rPr>
        <w:t>乙方应为植物、花器等提供适宜运输的包装方式，对于因包装不良或采用不充分或不妥善的防护措施而造成植物枯萎及花器破损等,乙方应承担由此产生的一切费用和损失。</w:t>
      </w:r>
    </w:p>
    <w:p>
      <w:pPr>
        <w:pStyle w:val="5"/>
        <w:ind w:firstLine="600"/>
        <w:rPr>
          <w:highlight w:val="none"/>
        </w:rPr>
      </w:pPr>
      <w:r>
        <w:rPr>
          <w:rFonts w:hint="eastAsia"/>
          <w:highlight w:val="none"/>
        </w:rPr>
        <w:t>8.2</w:t>
      </w:r>
      <w:r>
        <w:rPr>
          <w:rFonts w:hint="eastAsia"/>
          <w:highlight w:val="none"/>
          <w:lang w:val="en-US" w:eastAsia="zh-CN"/>
        </w:rPr>
        <w:t xml:space="preserve"> </w:t>
      </w:r>
      <w:r>
        <w:rPr>
          <w:rFonts w:hint="eastAsia"/>
          <w:highlight w:val="none"/>
        </w:rPr>
        <w:t>运输费用全部由乙方承担。乙方应采取一切必要措施保障运输安全，对于运输过程中发生的任何事故（包括但不限于交通事故、人身损害等）所致的任何责任（包括但不限于损害赔偿、行政处罚等），乙方均应全部予以承担。</w:t>
      </w:r>
    </w:p>
    <w:p>
      <w:pPr>
        <w:pStyle w:val="5"/>
        <w:ind w:firstLine="600"/>
        <w:rPr>
          <w:highlight w:val="none"/>
        </w:rPr>
      </w:pPr>
      <w:r>
        <w:rPr>
          <w:rFonts w:hint="eastAsia"/>
          <w:highlight w:val="none"/>
        </w:rPr>
        <w:t>8.3</w:t>
      </w:r>
      <w:r>
        <w:rPr>
          <w:rFonts w:hint="eastAsia"/>
          <w:highlight w:val="none"/>
          <w:lang w:val="en-US" w:eastAsia="zh-CN"/>
        </w:rPr>
        <w:t xml:space="preserve"> </w:t>
      </w:r>
      <w:r>
        <w:rPr>
          <w:rFonts w:hint="eastAsia"/>
          <w:highlight w:val="none"/>
        </w:rPr>
        <w:t>乙方应保证运输车辆的完好，禁止驾驶员带病行驶、超速行驶、超载行驶以及酒后驾车、疲劳驾车，因此引起的安全事故，由乙方全部承担责任。</w:t>
      </w:r>
    </w:p>
    <w:p>
      <w:pPr>
        <w:pStyle w:val="5"/>
        <w:ind w:firstLine="600"/>
        <w:rPr>
          <w:highlight w:val="none"/>
        </w:rPr>
      </w:pPr>
      <w:r>
        <w:rPr>
          <w:rFonts w:hint="eastAsia"/>
          <w:highlight w:val="none"/>
        </w:rPr>
        <w:t>8.4</w:t>
      </w:r>
      <w:r>
        <w:rPr>
          <w:rFonts w:hint="eastAsia"/>
          <w:highlight w:val="none"/>
          <w:lang w:val="en-US" w:eastAsia="zh-CN"/>
        </w:rPr>
        <w:t xml:space="preserve"> </w:t>
      </w:r>
      <w:r>
        <w:rPr>
          <w:rFonts w:hint="eastAsia"/>
          <w:highlight w:val="none"/>
        </w:rPr>
        <w:t>乙方车辆进入甲方指定地点，必须服从甲方人员的指挥，按照指定区域停车、装卸，不听从指挥，所发生的事故或财物损失，由乙方承担全部责任。</w:t>
      </w:r>
    </w:p>
    <w:p>
      <w:pPr>
        <w:pStyle w:val="5"/>
        <w:ind w:firstLine="600"/>
        <w:rPr>
          <w:highlight w:val="none"/>
        </w:rPr>
      </w:pPr>
      <w:r>
        <w:rPr>
          <w:rFonts w:hint="eastAsia"/>
          <w:highlight w:val="none"/>
        </w:rPr>
        <w:t>8.5</w:t>
      </w:r>
      <w:r>
        <w:rPr>
          <w:rFonts w:hint="eastAsia"/>
          <w:highlight w:val="none"/>
          <w:lang w:val="en-US" w:eastAsia="zh-CN"/>
        </w:rPr>
        <w:t xml:space="preserve"> </w:t>
      </w:r>
      <w:r>
        <w:rPr>
          <w:rFonts w:hint="eastAsia"/>
          <w:highlight w:val="none"/>
        </w:rPr>
        <w:t>产品运送至甲方指定地点后，由甲乙双方共同对其进行检验并办理相关移交手续。</w:t>
      </w:r>
    </w:p>
    <w:p>
      <w:pPr>
        <w:pStyle w:val="4"/>
        <w:ind w:firstLine="643"/>
        <w:rPr>
          <w:highlight w:val="none"/>
        </w:rPr>
      </w:pPr>
      <w:bookmarkStart w:id="275" w:name="_Toc28232"/>
      <w:bookmarkStart w:id="276" w:name="_Toc24894"/>
      <w:bookmarkStart w:id="277" w:name="_Toc32256"/>
      <w:bookmarkStart w:id="278" w:name="_Toc29612"/>
      <w:r>
        <w:rPr>
          <w:highlight w:val="none"/>
        </w:rPr>
        <w:t>第</w:t>
      </w:r>
      <w:r>
        <w:rPr>
          <w:rFonts w:hint="eastAsia"/>
          <w:highlight w:val="none"/>
        </w:rPr>
        <w:t>九</w:t>
      </w:r>
      <w:r>
        <w:rPr>
          <w:highlight w:val="none"/>
        </w:rPr>
        <w:t>条 验收办法</w:t>
      </w:r>
      <w:bookmarkEnd w:id="275"/>
      <w:bookmarkEnd w:id="276"/>
      <w:bookmarkEnd w:id="277"/>
      <w:bookmarkEnd w:id="278"/>
    </w:p>
    <w:p>
      <w:pPr>
        <w:pStyle w:val="5"/>
        <w:ind w:firstLine="600"/>
        <w:rPr>
          <w:highlight w:val="none"/>
        </w:rPr>
      </w:pPr>
      <w:r>
        <w:rPr>
          <w:rFonts w:hint="eastAsia"/>
          <w:highlight w:val="none"/>
        </w:rPr>
        <w:t>9.1 货到交货地点后，乙方应负责将货物卸至甲方指定地点，甲方对货物的数量和质量进行初步验收，除本合同另有约定的外，乙方所供货物应是全新的，未被使用过的。如玻璃花器等需安装调试的货物，乙方应安装正常后，方能通过验收。</w:t>
      </w:r>
    </w:p>
    <w:p>
      <w:pPr>
        <w:pStyle w:val="5"/>
        <w:ind w:firstLine="600"/>
        <w:rPr>
          <w:highlight w:val="none"/>
        </w:rPr>
      </w:pPr>
      <w:r>
        <w:rPr>
          <w:rFonts w:hint="eastAsia"/>
          <w:highlight w:val="none"/>
        </w:rPr>
        <w:t>9.2 符合要求的产品由甲方填写验收单，甲乙双方签字确认。</w:t>
      </w:r>
    </w:p>
    <w:p>
      <w:pPr>
        <w:pStyle w:val="5"/>
        <w:ind w:firstLine="600"/>
        <w:rPr>
          <w:highlight w:val="none"/>
        </w:rPr>
      </w:pPr>
      <w:r>
        <w:rPr>
          <w:rFonts w:hint="eastAsia"/>
          <w:highlight w:val="none"/>
        </w:rPr>
        <w:t>9.3 不符合甲方要求的产品，甲方有权拒绝验收并要求乙方重新采购送货直至验收合格为止。</w:t>
      </w:r>
    </w:p>
    <w:p>
      <w:pPr>
        <w:pStyle w:val="4"/>
        <w:ind w:firstLine="643"/>
        <w:rPr>
          <w:highlight w:val="none"/>
        </w:rPr>
      </w:pPr>
      <w:bookmarkStart w:id="279" w:name="_Toc32346"/>
      <w:bookmarkStart w:id="280" w:name="_Toc1200"/>
      <w:bookmarkStart w:id="281" w:name="_Toc12571"/>
      <w:bookmarkStart w:id="282" w:name="_Toc19979"/>
      <w:r>
        <w:rPr>
          <w:rFonts w:hint="eastAsia"/>
          <w:highlight w:val="none"/>
        </w:rPr>
        <w:t>第十条 单据</w:t>
      </w:r>
      <w:bookmarkEnd w:id="279"/>
      <w:bookmarkEnd w:id="280"/>
      <w:bookmarkEnd w:id="281"/>
      <w:bookmarkEnd w:id="282"/>
    </w:p>
    <w:p>
      <w:pPr>
        <w:pStyle w:val="5"/>
        <w:ind w:firstLine="600"/>
        <w:rPr>
          <w:highlight w:val="none"/>
        </w:rPr>
      </w:pPr>
      <w:r>
        <w:rPr>
          <w:rFonts w:hint="eastAsia"/>
          <w:highlight w:val="none"/>
        </w:rPr>
        <w:t>10.1 各项单据（发票除外）均须使用与本合同一致的文字，以便甲方审核查对。送货凭证及发票应注明品名、规格、数量、单价、交货金额。</w:t>
      </w:r>
    </w:p>
    <w:p>
      <w:pPr>
        <w:pStyle w:val="5"/>
        <w:ind w:firstLine="600"/>
        <w:rPr>
          <w:highlight w:val="none"/>
        </w:rPr>
      </w:pPr>
      <w:r>
        <w:rPr>
          <w:rFonts w:hint="eastAsia"/>
          <w:highlight w:val="none"/>
        </w:rPr>
        <w:t>10.2 每月末对该月运送的所有货品名称、规格、数量、单价、总价进行一次统计，形成纸质台账交于甲方确认签字并保存电子档记录。</w:t>
      </w:r>
    </w:p>
    <w:p>
      <w:pPr>
        <w:pStyle w:val="4"/>
        <w:ind w:firstLine="643"/>
        <w:rPr>
          <w:highlight w:val="none"/>
        </w:rPr>
      </w:pPr>
      <w:bookmarkStart w:id="283" w:name="_Toc20785"/>
      <w:bookmarkStart w:id="284" w:name="_Toc8276"/>
      <w:bookmarkStart w:id="285" w:name="_Toc25147"/>
      <w:bookmarkStart w:id="286" w:name="_Toc22345"/>
      <w:r>
        <w:rPr>
          <w:rFonts w:hint="eastAsia"/>
          <w:highlight w:val="none"/>
        </w:rPr>
        <w:t>第十一条 保证金</w:t>
      </w:r>
      <w:bookmarkEnd w:id="283"/>
      <w:bookmarkEnd w:id="284"/>
      <w:bookmarkEnd w:id="285"/>
      <w:bookmarkEnd w:id="286"/>
    </w:p>
    <w:p>
      <w:pPr>
        <w:pStyle w:val="5"/>
        <w:ind w:firstLine="600"/>
        <w:rPr>
          <w:rFonts w:hint="eastAsia" w:eastAsia="仿宋_GB2312"/>
          <w:highlight w:val="none"/>
          <w:lang w:eastAsia="zh-CN"/>
        </w:rPr>
      </w:pPr>
      <w:r>
        <w:rPr>
          <w:rFonts w:hint="eastAsia"/>
          <w:highlight w:val="none"/>
        </w:rPr>
        <w:t>11.1 乙方应在</w:t>
      </w:r>
      <w:r>
        <w:rPr>
          <w:rStyle w:val="54"/>
          <w:rFonts w:hint="eastAsia" w:ascii="方正仿宋_GBK" w:hAnsi="方正仿宋_GBK" w:eastAsia="方正仿宋_GBK" w:cs="方正仿宋_GBK"/>
          <w:color w:val="auto"/>
          <w:highlight w:val="none"/>
          <w:u w:val="single"/>
        </w:rPr>
        <w:t>中标通知书发出后   日内（或本合同签订   日之前）</w:t>
      </w:r>
      <w:r>
        <w:rPr>
          <w:rFonts w:hint="eastAsia"/>
          <w:color w:val="auto"/>
          <w:highlight w:val="none"/>
          <w:u w:val="single"/>
        </w:rPr>
        <w:t xml:space="preserve"> </w:t>
      </w:r>
      <w:r>
        <w:rPr>
          <w:rFonts w:hint="eastAsia"/>
          <w:highlight w:val="none"/>
          <w:u w:val="single"/>
        </w:rPr>
        <w:t xml:space="preserve">        </w:t>
      </w:r>
      <w:r>
        <w:rPr>
          <w:rFonts w:hint="eastAsia"/>
          <w:highlight w:val="none"/>
        </w:rPr>
        <w:t>以</w:t>
      </w:r>
      <w:r>
        <w:rPr>
          <w:rFonts w:hint="eastAsia"/>
          <w:highlight w:val="none"/>
          <w:u w:val="single"/>
        </w:rPr>
        <w:t xml:space="preserve">      </w:t>
      </w:r>
      <w:r>
        <w:rPr>
          <w:rFonts w:hint="eastAsia"/>
          <w:highlight w:val="none"/>
        </w:rPr>
        <w:t>形式向甲方缴纳履约保证金，以作为乙方履行本合同项下相关义务的担保 。履约保证金共计人民币</w:t>
      </w:r>
      <w:r>
        <w:rPr>
          <w:rFonts w:hint="eastAsia"/>
          <w:highlight w:val="none"/>
          <w:u w:val="single"/>
        </w:rPr>
        <w:t xml:space="preserve">      </w:t>
      </w:r>
      <w:r>
        <w:rPr>
          <w:rFonts w:hint="eastAsia"/>
          <w:highlight w:val="none"/>
        </w:rPr>
        <w:t>元，大写人民币</w:t>
      </w:r>
      <w:r>
        <w:rPr>
          <w:rFonts w:hint="eastAsia"/>
          <w:highlight w:val="none"/>
          <w:u w:val="single"/>
        </w:rPr>
        <w:t xml:space="preserve">       </w:t>
      </w:r>
      <w:r>
        <w:rPr>
          <w:rFonts w:hint="eastAsia"/>
          <w:highlight w:val="none"/>
        </w:rPr>
        <w:t>元。待本合同结束且验收合格后15个工作日内无息退还</w:t>
      </w:r>
      <w:r>
        <w:rPr>
          <w:rFonts w:hint="eastAsia"/>
          <w:highlight w:val="none"/>
          <w:lang w:eastAsia="zh-CN"/>
        </w:rPr>
        <w:t>。</w:t>
      </w:r>
    </w:p>
    <w:p>
      <w:pPr>
        <w:pStyle w:val="5"/>
        <w:ind w:firstLine="600"/>
        <w:rPr>
          <w:highlight w:val="none"/>
        </w:rPr>
      </w:pPr>
      <w:r>
        <w:rPr>
          <w:rFonts w:hint="eastAsia"/>
          <w:highlight w:val="none"/>
        </w:rPr>
        <w:t>11.2 合同总价的</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w:t>
      </w:r>
      <w:r>
        <w:rPr>
          <w:rFonts w:hint="eastAsia"/>
          <w:highlight w:val="none"/>
        </w:rPr>
        <w:t>为乙方所供货物的</w:t>
      </w:r>
      <w:r>
        <w:rPr>
          <w:rFonts w:hint="eastAsia"/>
          <w:highlight w:val="none"/>
          <w:lang w:eastAsia="zh-CN"/>
        </w:rPr>
        <w:t>维保</w:t>
      </w:r>
      <w:r>
        <w:rPr>
          <w:rFonts w:hint="eastAsia"/>
          <w:highlight w:val="none"/>
        </w:rPr>
        <w:t>金</w:t>
      </w:r>
      <w:r>
        <w:rPr>
          <w:rFonts w:hint="eastAsia"/>
          <w:highlight w:val="none"/>
          <w:lang w:eastAsia="zh-CN"/>
        </w:rPr>
        <w:t>共计人民币</w:t>
      </w:r>
      <w:r>
        <w:rPr>
          <w:rFonts w:asciiTheme="minorHAnsi" w:hAnsiTheme="minorHAnsi"/>
          <w:highlight w:val="none"/>
        </w:rPr>
        <w:t>_______</w:t>
      </w:r>
      <w:r>
        <w:rPr>
          <w:rFonts w:hint="eastAsia" w:asciiTheme="minorHAnsi" w:hAnsiTheme="minorHAnsi"/>
          <w:highlight w:val="none"/>
          <w:lang w:eastAsia="zh-CN"/>
        </w:rPr>
        <w:t>元</w:t>
      </w:r>
      <w:r>
        <w:rPr>
          <w:rFonts w:hint="eastAsia"/>
          <w:highlight w:val="none"/>
        </w:rPr>
        <w:t>，</w:t>
      </w:r>
      <w:r>
        <w:rPr>
          <w:rFonts w:hint="eastAsia"/>
          <w:highlight w:val="none"/>
          <w:lang w:eastAsia="zh-CN"/>
        </w:rPr>
        <w:t>大写人民币</w:t>
      </w:r>
      <w:r>
        <w:rPr>
          <w:rFonts w:asciiTheme="minorHAnsi" w:hAnsiTheme="minorHAnsi"/>
          <w:highlight w:val="none"/>
        </w:rPr>
        <w:t>_______</w:t>
      </w:r>
      <w:r>
        <w:rPr>
          <w:rFonts w:hint="eastAsia" w:asciiTheme="minorHAnsi" w:hAnsiTheme="minorHAnsi"/>
          <w:highlight w:val="none"/>
          <w:lang w:eastAsia="zh-CN"/>
        </w:rPr>
        <w:t>元。</w:t>
      </w:r>
      <w:r>
        <w:rPr>
          <w:rFonts w:hint="eastAsia"/>
          <w:highlight w:val="none"/>
        </w:rPr>
        <w:t>最后一项产品</w:t>
      </w:r>
      <w:r>
        <w:rPr>
          <w:rFonts w:hint="eastAsia"/>
          <w:highlight w:val="none"/>
          <w:lang w:eastAsia="zh-CN"/>
        </w:rPr>
        <w:t>维保</w:t>
      </w:r>
      <w:r>
        <w:rPr>
          <w:rFonts w:hint="eastAsia"/>
          <w:highlight w:val="none"/>
        </w:rPr>
        <w:t>期满后，无任何质量问题，于10个工作日内无息退还。</w:t>
      </w:r>
    </w:p>
    <w:p>
      <w:pPr>
        <w:pStyle w:val="5"/>
        <w:ind w:firstLine="600"/>
        <w:rPr>
          <w:color w:val="auto"/>
          <w:highlight w:val="none"/>
        </w:rPr>
      </w:pPr>
      <w:r>
        <w:rPr>
          <w:rFonts w:hint="eastAsia"/>
          <w:highlight w:val="none"/>
        </w:rPr>
        <w:t>11.</w:t>
      </w:r>
      <w:r>
        <w:rPr>
          <w:rFonts w:hint="eastAsia"/>
          <w:highlight w:val="none"/>
          <w:lang w:val="en-US" w:eastAsia="zh-CN"/>
        </w:rPr>
        <w:t>3</w:t>
      </w:r>
      <w:r>
        <w:rPr>
          <w:rStyle w:val="54"/>
          <w:rFonts w:hint="eastAsia" w:ascii="方正仿宋_GBK" w:hAnsi="方正仿宋_GBK" w:eastAsia="方正仿宋_GBK" w:cs="方正仿宋_GBK"/>
          <w:color w:val="auto"/>
          <w:highlight w:val="none"/>
        </w:rPr>
        <w:t xml:space="preserve"> </w:t>
      </w:r>
      <w:r>
        <w:rPr>
          <w:rStyle w:val="54"/>
          <w:rFonts w:hint="eastAsia" w:ascii="仿宋_GB2312" w:hAnsi="仿宋" w:eastAsia="仿宋_GB2312" w:cs="宋体"/>
          <w:color w:val="auto"/>
          <w:highlight w:val="none"/>
        </w:rPr>
        <w:t>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4"/>
        <w:ind w:firstLine="643"/>
        <w:rPr>
          <w:highlight w:val="none"/>
        </w:rPr>
      </w:pPr>
      <w:bookmarkStart w:id="287" w:name="_Toc13975"/>
      <w:bookmarkStart w:id="288" w:name="_Toc8898"/>
      <w:bookmarkStart w:id="289" w:name="_Toc15036"/>
      <w:bookmarkStart w:id="290" w:name="_Toc9836"/>
      <w:r>
        <w:rPr>
          <w:highlight w:val="none"/>
        </w:rPr>
        <w:t>第</w:t>
      </w:r>
      <w:r>
        <w:rPr>
          <w:rFonts w:hint="eastAsia"/>
          <w:highlight w:val="none"/>
        </w:rPr>
        <w:t>十二</w:t>
      </w:r>
      <w:r>
        <w:rPr>
          <w:highlight w:val="none"/>
        </w:rPr>
        <w:t>条 付款方式</w:t>
      </w:r>
      <w:bookmarkEnd w:id="287"/>
      <w:bookmarkEnd w:id="288"/>
      <w:bookmarkEnd w:id="289"/>
      <w:bookmarkEnd w:id="290"/>
    </w:p>
    <w:p>
      <w:pPr>
        <w:pStyle w:val="5"/>
        <w:ind w:firstLine="600"/>
        <w:rPr>
          <w:rFonts w:hint="eastAsia"/>
          <w:highlight w:val="none"/>
        </w:rPr>
      </w:pPr>
      <w:r>
        <w:rPr>
          <w:rFonts w:hint="eastAsia"/>
          <w:highlight w:val="none"/>
        </w:rPr>
        <w:t>12.1 本项目按季度（3个月）结算付款：双方合同签订之日起，</w:t>
      </w:r>
      <w:r>
        <w:rPr>
          <w:rFonts w:hint="eastAsia"/>
          <w:highlight w:val="none"/>
          <w:lang w:eastAsia="zh-CN"/>
        </w:rPr>
        <w:t>每季度</w:t>
      </w:r>
      <w:r>
        <w:rPr>
          <w:rFonts w:hint="eastAsia"/>
          <w:highlight w:val="none"/>
        </w:rPr>
        <w:t>乙方保质保量完成本季度交货且由甲方验收合格，季度结束后，甲方收到乙方开具的增值税专用发票后20日内，以</w:t>
      </w:r>
      <w:r>
        <w:rPr>
          <w:rFonts w:hint="eastAsia"/>
          <w:highlight w:val="none"/>
          <w:lang w:eastAsia="zh-CN"/>
        </w:rPr>
        <w:t>银行</w:t>
      </w:r>
      <w:r>
        <w:rPr>
          <w:rFonts w:hint="eastAsia"/>
          <w:highlight w:val="none"/>
        </w:rPr>
        <w:t>转账</w:t>
      </w:r>
      <w:r>
        <w:rPr>
          <w:rFonts w:hint="eastAsia"/>
          <w:highlight w:val="none"/>
          <w:lang w:eastAsia="zh-CN"/>
        </w:rPr>
        <w:t>或开具银行承兑汇票</w:t>
      </w:r>
      <w:r>
        <w:rPr>
          <w:rFonts w:hint="eastAsia"/>
          <w:highlight w:val="none"/>
        </w:rPr>
        <w:t>方式一次性付给乙方</w:t>
      </w:r>
      <w:r>
        <w:rPr>
          <w:rFonts w:hint="eastAsia"/>
          <w:highlight w:val="none"/>
          <w:lang w:eastAsia="zh-CN"/>
        </w:rPr>
        <w:t>实际供货金额的</w:t>
      </w:r>
      <w:r>
        <w:rPr>
          <w:rFonts w:hint="eastAsia"/>
          <w:highlight w:val="none"/>
          <w:lang w:val="en-US" w:eastAsia="zh-CN"/>
        </w:rPr>
        <w:t>97%</w:t>
      </w:r>
      <w:r>
        <w:rPr>
          <w:rFonts w:hint="eastAsia"/>
          <w:highlight w:val="none"/>
        </w:rPr>
        <w:t>。</w:t>
      </w:r>
    </w:p>
    <w:p>
      <w:pPr>
        <w:pStyle w:val="5"/>
        <w:ind w:firstLine="600"/>
        <w:rPr>
          <w:highlight w:val="none"/>
        </w:rPr>
      </w:pPr>
      <w:r>
        <w:rPr>
          <w:rFonts w:hint="eastAsia"/>
          <w:highlight w:val="none"/>
        </w:rPr>
        <w:t>1</w:t>
      </w:r>
      <w:r>
        <w:rPr>
          <w:highlight w:val="none"/>
        </w:rPr>
        <w:t>2.2</w:t>
      </w:r>
      <w:r>
        <w:rPr>
          <w:rFonts w:hint="eastAsia"/>
          <w:highlight w:val="none"/>
          <w:lang w:val="en-US" w:eastAsia="zh-CN"/>
        </w:rPr>
        <w:t xml:space="preserve"> </w:t>
      </w:r>
      <w:r>
        <w:rPr>
          <w:rFonts w:hint="eastAsia"/>
          <w:highlight w:val="none"/>
          <w:lang w:eastAsia="zh-CN"/>
        </w:rPr>
        <w:t>维保金</w:t>
      </w:r>
      <w:r>
        <w:rPr>
          <w:rFonts w:hint="eastAsia"/>
          <w:highlight w:val="none"/>
        </w:rPr>
        <w:t>待所有产品</w:t>
      </w:r>
      <w:r>
        <w:rPr>
          <w:rFonts w:hint="eastAsia"/>
          <w:highlight w:val="none"/>
          <w:lang w:eastAsia="zh-CN"/>
        </w:rPr>
        <w:t>维保期限</w:t>
      </w:r>
      <w:r>
        <w:rPr>
          <w:rFonts w:hint="eastAsia"/>
          <w:highlight w:val="none"/>
        </w:rPr>
        <w:t>结束后，甲方收到乙方开具的收据后2</w:t>
      </w:r>
      <w:r>
        <w:rPr>
          <w:highlight w:val="none"/>
        </w:rPr>
        <w:t>0</w:t>
      </w:r>
      <w:r>
        <w:rPr>
          <w:rFonts w:hint="eastAsia"/>
          <w:highlight w:val="none"/>
        </w:rPr>
        <w:t>日内，以</w:t>
      </w:r>
      <w:r>
        <w:rPr>
          <w:rFonts w:hint="eastAsia"/>
          <w:highlight w:val="none"/>
          <w:lang w:eastAsia="zh-CN"/>
        </w:rPr>
        <w:t>银行</w:t>
      </w:r>
      <w:r>
        <w:rPr>
          <w:rFonts w:hint="eastAsia"/>
          <w:highlight w:val="none"/>
        </w:rPr>
        <w:t>转账</w:t>
      </w:r>
      <w:r>
        <w:rPr>
          <w:rFonts w:hint="eastAsia"/>
          <w:highlight w:val="none"/>
          <w:lang w:eastAsia="zh-CN"/>
        </w:rPr>
        <w:t>或开具银行承兑汇票</w:t>
      </w:r>
      <w:r>
        <w:rPr>
          <w:rFonts w:hint="eastAsia"/>
          <w:highlight w:val="none"/>
        </w:rPr>
        <w:t>方式一次性付给乙方。</w:t>
      </w:r>
    </w:p>
    <w:p>
      <w:pPr>
        <w:pStyle w:val="5"/>
        <w:ind w:firstLine="600"/>
        <w:rPr>
          <w:highlight w:val="none"/>
        </w:rPr>
      </w:pPr>
      <w:r>
        <w:rPr>
          <w:rFonts w:hint="eastAsia"/>
          <w:highlight w:val="none"/>
        </w:rPr>
        <w:t>12.</w:t>
      </w:r>
      <w:r>
        <w:rPr>
          <w:highlight w:val="none"/>
        </w:rPr>
        <w:t>3</w:t>
      </w:r>
      <w:r>
        <w:rPr>
          <w:rFonts w:hint="eastAsia"/>
          <w:highlight w:val="none"/>
        </w:rPr>
        <w:t xml:space="preserve"> 乙方需向甲方提供正规增值税专用发票，甲方支付金额=不含增值税金额+增值税税额。</w:t>
      </w:r>
    </w:p>
    <w:p>
      <w:pPr>
        <w:pStyle w:val="4"/>
        <w:ind w:firstLine="643"/>
        <w:rPr>
          <w:highlight w:val="none"/>
        </w:rPr>
      </w:pPr>
      <w:bookmarkStart w:id="291" w:name="_Toc28218"/>
      <w:bookmarkStart w:id="292" w:name="_Toc7330"/>
      <w:bookmarkStart w:id="293" w:name="_Toc25449"/>
      <w:bookmarkStart w:id="294" w:name="_Toc5971"/>
      <w:r>
        <w:rPr>
          <w:highlight w:val="none"/>
        </w:rPr>
        <w:t>第</w:t>
      </w:r>
      <w:r>
        <w:rPr>
          <w:rFonts w:hint="eastAsia"/>
          <w:highlight w:val="none"/>
        </w:rPr>
        <w:t>十三</w:t>
      </w:r>
      <w:r>
        <w:rPr>
          <w:highlight w:val="none"/>
        </w:rPr>
        <w:t>条 违约和索赔</w:t>
      </w:r>
      <w:bookmarkEnd w:id="291"/>
      <w:bookmarkEnd w:id="292"/>
      <w:bookmarkEnd w:id="293"/>
      <w:bookmarkEnd w:id="294"/>
    </w:p>
    <w:p>
      <w:pPr>
        <w:pStyle w:val="5"/>
        <w:ind w:firstLine="600"/>
        <w:rPr>
          <w:highlight w:val="none"/>
        </w:rPr>
      </w:pPr>
      <w:r>
        <w:rPr>
          <w:rFonts w:hint="eastAsia"/>
          <w:highlight w:val="none"/>
        </w:rPr>
        <w:t>13</w:t>
      </w:r>
      <w:r>
        <w:rPr>
          <w:highlight w:val="none"/>
        </w:rPr>
        <w:t>.1</w:t>
      </w:r>
      <w:r>
        <w:rPr>
          <w:rFonts w:hint="eastAsia"/>
          <w:highlight w:val="none"/>
          <w:lang w:val="en-US" w:eastAsia="zh-CN"/>
        </w:rPr>
        <w:t xml:space="preserve"> </w:t>
      </w:r>
      <w:r>
        <w:rPr>
          <w:highlight w:val="none"/>
        </w:rPr>
        <w:t>乙方逾期交</w:t>
      </w:r>
      <w:r>
        <w:rPr>
          <w:rFonts w:hint="eastAsia"/>
          <w:highlight w:val="none"/>
        </w:rPr>
        <w:t>货</w:t>
      </w:r>
      <w:r>
        <w:rPr>
          <w:highlight w:val="none"/>
        </w:rPr>
        <w:t>，乙方应向甲方偿付逾期交付违约金。逾期违约金按</w:t>
      </w:r>
      <w:r>
        <w:rPr>
          <w:rFonts w:hint="eastAsia"/>
          <w:highlight w:val="none"/>
        </w:rPr>
        <w:t>照合同总价款每日万分之三计算。</w:t>
      </w:r>
      <w:r>
        <w:rPr>
          <w:highlight w:val="none"/>
        </w:rPr>
        <w:t>甲方可在</w:t>
      </w:r>
      <w:r>
        <w:rPr>
          <w:rFonts w:hint="eastAsia"/>
          <w:highlight w:val="none"/>
        </w:rPr>
        <w:t>货物</w:t>
      </w:r>
      <w:r>
        <w:rPr>
          <w:highlight w:val="none"/>
        </w:rPr>
        <w:t>结算款中扣除。违约金尚不能补偿对方损失时，有权向对方追索实际损失的赔偿金。</w:t>
      </w:r>
    </w:p>
    <w:p>
      <w:pPr>
        <w:pStyle w:val="5"/>
        <w:ind w:firstLine="600"/>
        <w:rPr>
          <w:highlight w:val="none"/>
        </w:rPr>
      </w:pPr>
      <w:r>
        <w:rPr>
          <w:rFonts w:hint="eastAsia"/>
          <w:highlight w:val="none"/>
        </w:rPr>
        <w:t>13</w:t>
      </w:r>
      <w:r>
        <w:rPr>
          <w:highlight w:val="none"/>
        </w:rPr>
        <w:t>.2 乙方</w:t>
      </w:r>
      <w:r>
        <w:rPr>
          <w:rFonts w:hint="eastAsia"/>
          <w:highlight w:val="none"/>
        </w:rPr>
        <w:t>逾期交货，</w:t>
      </w:r>
      <w:r>
        <w:rPr>
          <w:highlight w:val="none"/>
        </w:rPr>
        <w:t>或不履行售后服务，</w:t>
      </w:r>
      <w:r>
        <w:rPr>
          <w:rFonts w:hint="eastAsia"/>
          <w:highlight w:val="none"/>
        </w:rPr>
        <w:t>经甲方催告后仍不能履行的，</w:t>
      </w:r>
      <w:r>
        <w:rPr>
          <w:highlight w:val="none"/>
        </w:rPr>
        <w:t>甲方有权</w:t>
      </w:r>
      <w:r>
        <w:rPr>
          <w:rFonts w:hint="eastAsia"/>
          <w:highlight w:val="none"/>
        </w:rPr>
        <w:t>解除合同，</w:t>
      </w:r>
      <w:r>
        <w:rPr>
          <w:rFonts w:hint="eastAsia"/>
          <w:highlight w:val="none"/>
          <w:lang w:eastAsia="zh-CN"/>
        </w:rPr>
        <w:t>履约</w:t>
      </w:r>
      <w:r>
        <w:rPr>
          <w:rFonts w:hint="eastAsia"/>
          <w:highlight w:val="none"/>
        </w:rPr>
        <w:t>保证金作为违约金不予退还。</w:t>
      </w:r>
      <w:r>
        <w:rPr>
          <w:rFonts w:hint="eastAsia"/>
          <w:highlight w:val="none"/>
          <w:lang w:eastAsia="zh-CN"/>
        </w:rPr>
        <w:t>履约</w:t>
      </w:r>
      <w:r>
        <w:rPr>
          <w:rFonts w:hint="eastAsia"/>
          <w:highlight w:val="none"/>
        </w:rPr>
        <w:t>保证金不足以弥补甲方损失的，甲方有权追偿。</w:t>
      </w:r>
    </w:p>
    <w:p>
      <w:pPr>
        <w:pStyle w:val="5"/>
        <w:ind w:firstLine="600"/>
        <w:rPr>
          <w:bCs/>
          <w:color w:val="auto"/>
          <w:highlight w:val="none"/>
        </w:rPr>
      </w:pPr>
      <w:r>
        <w:rPr>
          <w:rFonts w:hint="eastAsia"/>
          <w:color w:val="auto"/>
          <w:highlight w:val="none"/>
        </w:rPr>
        <w:t>13</w:t>
      </w:r>
      <w:r>
        <w:rPr>
          <w:color w:val="auto"/>
          <w:highlight w:val="none"/>
        </w:rPr>
        <w:t xml:space="preserve">.3 </w:t>
      </w:r>
      <w:r>
        <w:rPr>
          <w:rFonts w:hint="eastAsia"/>
          <w:bCs/>
          <w:color w:val="auto"/>
          <w:highlight w:val="none"/>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highlight w:val="none"/>
        </w:rPr>
      </w:pPr>
      <w:r>
        <w:rPr>
          <w:rFonts w:hint="eastAsia"/>
          <w:bCs/>
          <w:color w:val="auto"/>
          <w:highlight w:val="none"/>
        </w:rPr>
        <w:t>13.</w:t>
      </w:r>
      <w:r>
        <w:rPr>
          <w:rFonts w:hint="eastAsia"/>
          <w:bCs/>
          <w:color w:val="auto"/>
          <w:highlight w:val="none"/>
          <w:lang w:val="en-US" w:eastAsia="zh-CN"/>
        </w:rPr>
        <w:t>4</w:t>
      </w:r>
      <w:r>
        <w:rPr>
          <w:rFonts w:hint="eastAsia"/>
          <w:bCs/>
          <w:color w:val="auto"/>
          <w:highlight w:val="none"/>
        </w:rPr>
        <w:t xml:space="preserve"> 乙方提供的植物出现病虫害，导致甲方环境污染或甲方原有植物病虫害的，乙方应治理病虫害及承担赔偿责任并扣除</w:t>
      </w:r>
      <w:r>
        <w:rPr>
          <w:rFonts w:hint="eastAsia"/>
          <w:bCs/>
          <w:color w:val="auto"/>
          <w:highlight w:val="none"/>
          <w:lang w:eastAsia="zh-CN"/>
        </w:rPr>
        <w:t>履约</w:t>
      </w:r>
      <w:r>
        <w:rPr>
          <w:rFonts w:hint="eastAsia"/>
          <w:bCs/>
          <w:color w:val="auto"/>
          <w:highlight w:val="none"/>
        </w:rPr>
        <w:t>保证金1000元，</w:t>
      </w:r>
      <w:r>
        <w:rPr>
          <w:rFonts w:hint="eastAsia"/>
          <w:bCs/>
          <w:color w:val="auto"/>
          <w:highlight w:val="none"/>
          <w:lang w:eastAsia="zh-CN"/>
        </w:rPr>
        <w:t>履约</w:t>
      </w:r>
      <w:r>
        <w:rPr>
          <w:rFonts w:hint="eastAsia"/>
          <w:bCs/>
          <w:color w:val="auto"/>
          <w:highlight w:val="none"/>
        </w:rPr>
        <w:t>保证金扣完后甲方可以单方面解除本合同。</w:t>
      </w:r>
    </w:p>
    <w:p>
      <w:pPr>
        <w:pStyle w:val="5"/>
        <w:ind w:firstLine="600"/>
        <w:rPr>
          <w:bCs/>
          <w:color w:val="auto"/>
          <w:highlight w:val="none"/>
        </w:rPr>
      </w:pPr>
      <w:r>
        <w:rPr>
          <w:rFonts w:hint="eastAsia"/>
          <w:bCs/>
          <w:color w:val="auto"/>
          <w:highlight w:val="none"/>
        </w:rPr>
        <w:t>13.</w:t>
      </w:r>
      <w:r>
        <w:rPr>
          <w:rFonts w:hint="eastAsia"/>
          <w:bCs/>
          <w:color w:val="auto"/>
          <w:highlight w:val="none"/>
          <w:lang w:val="en-US" w:eastAsia="zh-CN"/>
        </w:rPr>
        <w:t xml:space="preserve">5 </w:t>
      </w:r>
      <w:r>
        <w:rPr>
          <w:rFonts w:hint="eastAsia"/>
          <w:color w:val="auto"/>
          <w:highlight w:val="none"/>
        </w:rPr>
        <w:t>产品在质保期内因产品质量瑕疵或缺陷导致的甲方或第三方损害的，</w:t>
      </w:r>
      <w:r>
        <w:rPr>
          <w:rFonts w:hint="eastAsia"/>
          <w:bCs/>
          <w:color w:val="auto"/>
          <w:highlight w:val="none"/>
        </w:rPr>
        <w:t>甲方有权向乙方索赔。</w:t>
      </w:r>
    </w:p>
    <w:p>
      <w:pPr>
        <w:pStyle w:val="4"/>
        <w:ind w:firstLine="643"/>
        <w:rPr>
          <w:highlight w:val="none"/>
        </w:rPr>
      </w:pPr>
      <w:bookmarkStart w:id="295" w:name="_Toc24816"/>
      <w:bookmarkStart w:id="296" w:name="_Toc11147"/>
      <w:bookmarkStart w:id="297" w:name="_Toc579"/>
      <w:bookmarkStart w:id="298" w:name="_Toc25237"/>
      <w:r>
        <w:rPr>
          <w:highlight w:val="none"/>
        </w:rPr>
        <w:t>第</w:t>
      </w:r>
      <w:r>
        <w:rPr>
          <w:rFonts w:hint="eastAsia"/>
          <w:highlight w:val="none"/>
        </w:rPr>
        <w:t>十四</w:t>
      </w:r>
      <w:r>
        <w:rPr>
          <w:highlight w:val="none"/>
        </w:rPr>
        <w:t>条 不可抗力</w:t>
      </w:r>
      <w:bookmarkEnd w:id="295"/>
      <w:bookmarkEnd w:id="296"/>
      <w:bookmarkEnd w:id="297"/>
      <w:bookmarkEnd w:id="298"/>
    </w:p>
    <w:p>
      <w:pPr>
        <w:pStyle w:val="5"/>
        <w:ind w:firstLine="600"/>
        <w:rPr>
          <w:highlight w:val="none"/>
        </w:rPr>
      </w:pPr>
      <w:r>
        <w:rPr>
          <w:rFonts w:hint="eastAsia"/>
          <w:highlight w:val="none"/>
        </w:rPr>
        <w:t>14</w:t>
      </w:r>
      <w:r>
        <w:rPr>
          <w:highlight w:val="none"/>
        </w:rPr>
        <w:t xml:space="preserve">.1 </w:t>
      </w:r>
      <w:r>
        <w:rPr>
          <w:rFonts w:hint="eastAsia"/>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highlight w:val="none"/>
        </w:rPr>
      </w:pPr>
      <w:r>
        <w:rPr>
          <w:rFonts w:hint="eastAsia"/>
          <w:highlight w:val="none"/>
        </w:rPr>
        <w:t>14</w:t>
      </w:r>
      <w:r>
        <w:rPr>
          <w:highlight w:val="none"/>
        </w:rPr>
        <w:t xml:space="preserve">.2 </w:t>
      </w:r>
      <w:r>
        <w:rPr>
          <w:rFonts w:hint="eastAsia"/>
          <w:highlight w:val="none"/>
        </w:rPr>
        <w:t>因不可抗力的影响，使甲方或乙方无法正常履行本合同，经双方协商可终止本合同或修改本合同的执行，双方已履行部分应在履行方案确定后</w:t>
      </w:r>
      <w:r>
        <w:rPr>
          <w:highlight w:val="none"/>
        </w:rPr>
        <w:t>30个工作日内据实结算完毕。迟</w:t>
      </w:r>
      <w:r>
        <w:rPr>
          <w:rFonts w:hint="eastAsia"/>
          <w:highlight w:val="none"/>
        </w:rPr>
        <w:t>延履行后发生不可抗力的，不能免除违约责任。</w:t>
      </w:r>
      <w:r>
        <w:rPr>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3"/>
        <w:rPr>
          <w:highlight w:val="none"/>
        </w:rPr>
      </w:pPr>
      <w:bookmarkStart w:id="299" w:name="_Toc5973"/>
      <w:bookmarkStart w:id="300" w:name="_Toc3179"/>
      <w:bookmarkStart w:id="301" w:name="_Toc6716"/>
      <w:bookmarkStart w:id="302" w:name="_Toc23721"/>
      <w:r>
        <w:rPr>
          <w:rFonts w:hint="eastAsia"/>
          <w:highlight w:val="none"/>
        </w:rPr>
        <w:t>第十五条 通知条款</w:t>
      </w:r>
      <w:bookmarkEnd w:id="299"/>
      <w:bookmarkEnd w:id="300"/>
      <w:bookmarkEnd w:id="301"/>
      <w:bookmarkEnd w:id="302"/>
    </w:p>
    <w:p>
      <w:pPr>
        <w:pStyle w:val="5"/>
        <w:ind w:firstLine="600"/>
        <w:rPr>
          <w:highlight w:val="none"/>
        </w:rPr>
      </w:pPr>
      <w:r>
        <w:rPr>
          <w:rFonts w:hint="eastAsia"/>
          <w:highlight w:val="none"/>
        </w:rPr>
        <w:t>任何一方均应本着诚实信用原则来对待另一方在履行合同时的通知、告知事项，如因重大事项须履行通知义务的，均应当以当面签收或特快专递、电子邮件方式送达相对人。</w:t>
      </w:r>
    </w:p>
    <w:p>
      <w:pPr>
        <w:pStyle w:val="5"/>
        <w:ind w:firstLine="600"/>
        <w:rPr>
          <w:highlight w:val="none"/>
        </w:rPr>
      </w:pPr>
      <w:r>
        <w:rPr>
          <w:rFonts w:hint="eastAsia"/>
          <w:highlight w:val="none"/>
        </w:rPr>
        <w:t>甲方指定的联系方式：</w:t>
      </w:r>
    </w:p>
    <w:p>
      <w:pPr>
        <w:pStyle w:val="5"/>
        <w:ind w:firstLine="600"/>
        <w:rPr>
          <w:highlight w:val="none"/>
        </w:rPr>
      </w:pPr>
      <w:r>
        <w:rPr>
          <w:rFonts w:hint="eastAsia"/>
          <w:highlight w:val="none"/>
        </w:rPr>
        <w:t>联系人：</w:t>
      </w:r>
      <w:r>
        <w:rPr>
          <w:rFonts w:ascii="Times New Roman" w:hAnsi="Times New Roman" w:cs="Times New Roman"/>
          <w:highlight w:val="none"/>
        </w:rPr>
        <w:t>_____________________________</w:t>
      </w:r>
    </w:p>
    <w:p>
      <w:pPr>
        <w:pStyle w:val="5"/>
        <w:ind w:firstLine="600"/>
        <w:rPr>
          <w:highlight w:val="none"/>
        </w:rPr>
      </w:pPr>
      <w:r>
        <w:rPr>
          <w:rFonts w:hint="eastAsia"/>
          <w:highlight w:val="none"/>
        </w:rPr>
        <w:t>联系电话：</w:t>
      </w:r>
      <w:r>
        <w:rPr>
          <w:rFonts w:ascii="Times New Roman" w:hAnsi="Times New Roman" w:cs="Times New Roman"/>
          <w:highlight w:val="none"/>
        </w:rPr>
        <w:t>___________________________</w:t>
      </w:r>
    </w:p>
    <w:p>
      <w:pPr>
        <w:pStyle w:val="5"/>
        <w:ind w:firstLine="600"/>
        <w:rPr>
          <w:rFonts w:ascii="Times New Roman" w:hAnsi="Times New Roman" w:cs="Times New Roman"/>
          <w:highlight w:val="none"/>
        </w:rPr>
      </w:pPr>
      <w:r>
        <w:rPr>
          <w:rFonts w:hint="eastAsia"/>
          <w:highlight w:val="none"/>
        </w:rPr>
        <w:t>通讯地址：</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电子邮件：</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乙方指定的联系方式：</w:t>
      </w:r>
    </w:p>
    <w:p>
      <w:pPr>
        <w:pStyle w:val="5"/>
        <w:ind w:firstLine="600"/>
        <w:rPr>
          <w:rFonts w:ascii="Times New Roman" w:hAnsi="Times New Roman" w:cs="Times New Roman"/>
          <w:highlight w:val="none"/>
        </w:rPr>
      </w:pPr>
      <w:r>
        <w:rPr>
          <w:rFonts w:hint="eastAsia"/>
          <w:highlight w:val="none"/>
        </w:rPr>
        <w:t>联系人：</w:t>
      </w:r>
      <w:r>
        <w:rPr>
          <w:rFonts w:ascii="Times New Roman" w:hAnsi="Times New Roman" w:cs="Times New Roman"/>
          <w:highlight w:val="none"/>
        </w:rPr>
        <w:t>_____________________________</w:t>
      </w:r>
    </w:p>
    <w:p>
      <w:pPr>
        <w:pStyle w:val="5"/>
        <w:ind w:firstLine="600"/>
        <w:rPr>
          <w:rFonts w:ascii="Times New Roman" w:hAnsi="Times New Roman" w:cs="Times New Roman"/>
          <w:highlight w:val="none"/>
        </w:rPr>
      </w:pPr>
      <w:r>
        <w:rPr>
          <w:rFonts w:hint="eastAsia"/>
          <w:highlight w:val="none"/>
        </w:rPr>
        <w:t>联系电话：</w:t>
      </w:r>
      <w:r>
        <w:rPr>
          <w:rFonts w:ascii="Times New Roman" w:hAnsi="Times New Roman" w:cs="Times New Roman"/>
          <w:highlight w:val="none"/>
        </w:rPr>
        <w:t>___________________________</w:t>
      </w:r>
    </w:p>
    <w:p>
      <w:pPr>
        <w:pStyle w:val="5"/>
        <w:ind w:firstLine="600"/>
        <w:rPr>
          <w:rFonts w:ascii="Times New Roman" w:hAnsi="Times New Roman" w:cs="Times New Roman"/>
          <w:highlight w:val="none"/>
        </w:rPr>
      </w:pPr>
      <w:r>
        <w:rPr>
          <w:rFonts w:hint="eastAsia"/>
          <w:highlight w:val="none"/>
        </w:rPr>
        <w:t>通讯地址：</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电子邮件：</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15</w:t>
      </w:r>
      <w:r>
        <w:rPr>
          <w:highlight w:val="none"/>
        </w:rPr>
        <w:t>.1</w:t>
      </w:r>
      <w:r>
        <w:rPr>
          <w:rFonts w:hint="eastAsia"/>
          <w:highlight w:val="none"/>
          <w:lang w:val="en-US" w:eastAsia="zh-CN"/>
        </w:rPr>
        <w:t xml:space="preserve"> </w:t>
      </w:r>
      <w:r>
        <w:rPr>
          <w:highlight w:val="none"/>
        </w:rPr>
        <w:t>采用当面签收的，应由合同中指定的联系人或双方授权的代表签收，签收日期即为送达时间。</w:t>
      </w:r>
    </w:p>
    <w:p>
      <w:pPr>
        <w:pStyle w:val="5"/>
        <w:ind w:firstLine="600"/>
        <w:rPr>
          <w:highlight w:val="none"/>
        </w:rPr>
      </w:pPr>
      <w:r>
        <w:rPr>
          <w:rFonts w:hint="eastAsia"/>
          <w:highlight w:val="none"/>
        </w:rPr>
        <w:t>15</w:t>
      </w:r>
      <w:r>
        <w:rPr>
          <w:highlight w:val="none"/>
        </w:rPr>
        <w:t>.2</w:t>
      </w:r>
      <w:r>
        <w:rPr>
          <w:rFonts w:hint="eastAsia"/>
          <w:highlight w:val="none"/>
          <w:lang w:val="en-US" w:eastAsia="zh-CN"/>
        </w:rPr>
        <w:t xml:space="preserve"> </w:t>
      </w:r>
      <w:r>
        <w:rPr>
          <w:highlight w:val="none"/>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highlight w:val="none"/>
        </w:rPr>
      </w:pPr>
      <w:r>
        <w:rPr>
          <w:rFonts w:hint="eastAsia"/>
          <w:highlight w:val="none"/>
        </w:rPr>
        <w:t>15</w:t>
      </w:r>
      <w:r>
        <w:rPr>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highlight w:val="none"/>
        </w:rPr>
      </w:pPr>
      <w:r>
        <w:rPr>
          <w:rFonts w:hint="eastAsia"/>
          <w:highlight w:val="none"/>
        </w:rPr>
        <w:t>15</w:t>
      </w:r>
      <w:r>
        <w:rPr>
          <w:highlight w:val="none"/>
        </w:rPr>
        <w:t>.4</w:t>
      </w:r>
      <w:r>
        <w:rPr>
          <w:rFonts w:hint="eastAsia"/>
          <w:highlight w:val="none"/>
          <w:lang w:val="en-US" w:eastAsia="zh-CN"/>
        </w:rPr>
        <w:t xml:space="preserve"> </w:t>
      </w:r>
      <w:r>
        <w:rPr>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highlight w:val="none"/>
        </w:rPr>
      </w:pPr>
      <w:r>
        <w:rPr>
          <w:rFonts w:hint="eastAsia"/>
          <w:highlight w:val="none"/>
        </w:rPr>
        <w:t>15</w:t>
      </w:r>
      <w:r>
        <w:rPr>
          <w:highlight w:val="none"/>
        </w:rPr>
        <w:t>.5</w:t>
      </w:r>
      <w:r>
        <w:rPr>
          <w:rFonts w:hint="eastAsia"/>
          <w:highlight w:val="none"/>
          <w:lang w:val="en-US" w:eastAsia="zh-CN"/>
        </w:rPr>
        <w:t xml:space="preserve"> </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5"/>
        <w:ind w:firstLine="600"/>
        <w:rPr>
          <w:highlight w:val="none"/>
        </w:rPr>
      </w:pPr>
      <w:r>
        <w:rPr>
          <w:rFonts w:hint="eastAsia"/>
          <w:highlight w:val="none"/>
        </w:rPr>
        <w:t>15</w:t>
      </w:r>
      <w:r>
        <w:rPr>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highlight w:val="none"/>
        </w:rPr>
      </w:pPr>
      <w:r>
        <w:rPr>
          <w:rFonts w:hint="eastAsia"/>
          <w:highlight w:val="none"/>
        </w:rPr>
        <w:t>15</w:t>
      </w:r>
      <w:r>
        <w:rPr>
          <w:highlight w:val="none"/>
        </w:rPr>
        <w:t>.7</w:t>
      </w:r>
      <w:r>
        <w:rPr>
          <w:rFonts w:hint="eastAsia"/>
          <w:highlight w:val="none"/>
          <w:lang w:val="en-US" w:eastAsia="zh-CN"/>
        </w:rPr>
        <w:t xml:space="preserve"> </w:t>
      </w:r>
      <w:r>
        <w:rPr>
          <w:highlight w:val="none"/>
        </w:rPr>
        <w:t>本合同约定的联系方式与送达方式同时可作为法律文书的联系方式与送达方式。</w:t>
      </w:r>
    </w:p>
    <w:p>
      <w:pPr>
        <w:pStyle w:val="4"/>
        <w:ind w:firstLine="643"/>
        <w:rPr>
          <w:highlight w:val="none"/>
        </w:rPr>
      </w:pPr>
      <w:bookmarkStart w:id="303" w:name="_Toc31122"/>
      <w:bookmarkStart w:id="304" w:name="_Toc1894"/>
      <w:bookmarkStart w:id="305" w:name="_Toc32456"/>
      <w:bookmarkStart w:id="306" w:name="_Toc24297"/>
      <w:r>
        <w:rPr>
          <w:highlight w:val="none"/>
        </w:rPr>
        <w:t>第</w:t>
      </w:r>
      <w:r>
        <w:rPr>
          <w:rFonts w:hint="eastAsia"/>
          <w:highlight w:val="none"/>
        </w:rPr>
        <w:t>十六</w:t>
      </w:r>
      <w:r>
        <w:rPr>
          <w:highlight w:val="none"/>
        </w:rPr>
        <w:t xml:space="preserve">条 </w:t>
      </w:r>
      <w:r>
        <w:rPr>
          <w:rFonts w:hint="eastAsia"/>
          <w:highlight w:val="none"/>
        </w:rPr>
        <w:t>保密条款</w:t>
      </w:r>
      <w:bookmarkEnd w:id="303"/>
      <w:bookmarkEnd w:id="304"/>
      <w:bookmarkEnd w:id="305"/>
      <w:bookmarkEnd w:id="306"/>
    </w:p>
    <w:p>
      <w:pPr>
        <w:pStyle w:val="5"/>
        <w:ind w:firstLine="600"/>
        <w:rPr>
          <w:highlight w:val="none"/>
        </w:rPr>
      </w:pPr>
      <w:r>
        <w:rPr>
          <w:rFonts w:hint="eastAsia"/>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rPr>
        <w:t>。</w:t>
      </w:r>
    </w:p>
    <w:p>
      <w:pPr>
        <w:pStyle w:val="4"/>
        <w:ind w:firstLine="643"/>
        <w:rPr>
          <w:highlight w:val="none"/>
        </w:rPr>
      </w:pPr>
      <w:bookmarkStart w:id="307" w:name="_Toc8408"/>
      <w:bookmarkStart w:id="308" w:name="_Toc8795"/>
      <w:bookmarkStart w:id="309" w:name="_Toc29854"/>
      <w:bookmarkStart w:id="310" w:name="_Toc2666"/>
      <w:r>
        <w:rPr>
          <w:highlight w:val="none"/>
        </w:rPr>
        <w:t>第</w:t>
      </w:r>
      <w:r>
        <w:rPr>
          <w:rFonts w:hint="eastAsia"/>
          <w:highlight w:val="none"/>
        </w:rPr>
        <w:t>十七</w:t>
      </w:r>
      <w:r>
        <w:rPr>
          <w:highlight w:val="none"/>
        </w:rPr>
        <w:t xml:space="preserve">条 </w:t>
      </w:r>
      <w:r>
        <w:rPr>
          <w:rFonts w:hint="eastAsia"/>
          <w:highlight w:val="none"/>
        </w:rPr>
        <w:t>合同争议的解决方式</w:t>
      </w:r>
      <w:bookmarkEnd w:id="307"/>
      <w:bookmarkEnd w:id="308"/>
      <w:bookmarkEnd w:id="309"/>
      <w:bookmarkEnd w:id="310"/>
    </w:p>
    <w:p>
      <w:pPr>
        <w:pStyle w:val="5"/>
        <w:ind w:firstLine="600"/>
        <w:rPr>
          <w:highlight w:val="none"/>
        </w:rPr>
      </w:pPr>
      <w:r>
        <w:rPr>
          <w:rFonts w:hint="eastAsia"/>
          <w:highlight w:val="none"/>
        </w:rPr>
        <w:t>17</w:t>
      </w:r>
      <w:r>
        <w:rPr>
          <w:highlight w:val="none"/>
        </w:rPr>
        <w:t xml:space="preserve">.1 </w:t>
      </w:r>
      <w:r>
        <w:rPr>
          <w:rFonts w:hint="eastAsia"/>
          <w:highlight w:val="none"/>
        </w:rPr>
        <w:t>若在合同履行过程中发生争议，甲乙双方应当友好协商解决，协商不成，可提交重庆仲裁委员会，按照申请仲裁时该会现行有效的仲裁规则进行仲裁。</w:t>
      </w:r>
    </w:p>
    <w:p>
      <w:pPr>
        <w:pStyle w:val="5"/>
        <w:ind w:firstLine="600"/>
        <w:rPr>
          <w:highlight w:val="none"/>
        </w:rPr>
      </w:pPr>
      <w:r>
        <w:rPr>
          <w:rFonts w:hint="eastAsia"/>
          <w:highlight w:val="none"/>
        </w:rPr>
        <w:t>17</w:t>
      </w:r>
      <w:r>
        <w:rPr>
          <w:highlight w:val="none"/>
        </w:rPr>
        <w:t>.2</w:t>
      </w:r>
      <w:r>
        <w:rPr>
          <w:rFonts w:hint="eastAsia"/>
          <w:highlight w:val="none"/>
          <w:lang w:val="en-US" w:eastAsia="zh-CN"/>
        </w:rPr>
        <w:t xml:space="preserve"> </w:t>
      </w:r>
      <w:r>
        <w:rPr>
          <w:highlight w:val="none"/>
        </w:rPr>
        <w:t>在诉讼期间，除正在进行诉讼的部分外，合同其它部分继续执行。</w:t>
      </w:r>
    </w:p>
    <w:p>
      <w:pPr>
        <w:pStyle w:val="4"/>
        <w:ind w:firstLine="643"/>
        <w:rPr>
          <w:highlight w:val="none"/>
        </w:rPr>
      </w:pPr>
      <w:bookmarkStart w:id="311" w:name="_Toc17977"/>
      <w:bookmarkStart w:id="312" w:name="_Toc25877"/>
      <w:bookmarkStart w:id="313" w:name="_Toc6724"/>
      <w:bookmarkStart w:id="314" w:name="_Toc29843"/>
      <w:r>
        <w:rPr>
          <w:rFonts w:hint="eastAsia"/>
          <w:highlight w:val="none"/>
        </w:rPr>
        <w:t xml:space="preserve">第十八条 </w:t>
      </w:r>
      <w:r>
        <w:rPr>
          <w:highlight w:val="none"/>
        </w:rPr>
        <w:t>合同的变更和解除</w:t>
      </w:r>
      <w:bookmarkEnd w:id="311"/>
      <w:bookmarkEnd w:id="312"/>
      <w:bookmarkEnd w:id="313"/>
      <w:bookmarkEnd w:id="314"/>
    </w:p>
    <w:p>
      <w:pPr>
        <w:pStyle w:val="5"/>
        <w:ind w:firstLine="600"/>
        <w:rPr>
          <w:highlight w:val="none"/>
        </w:rPr>
      </w:pPr>
      <w:r>
        <w:rPr>
          <w:highlight w:val="none"/>
        </w:rPr>
        <w:t>1</w:t>
      </w:r>
      <w:r>
        <w:rPr>
          <w:rFonts w:hint="eastAsia"/>
          <w:highlight w:val="none"/>
        </w:rPr>
        <w:t>8</w:t>
      </w:r>
      <w:r>
        <w:rPr>
          <w:highlight w:val="none"/>
        </w:rPr>
        <w:t>.1 本合同履行过程中，如果合同履行条件发生变化</w:t>
      </w:r>
      <w:r>
        <w:rPr>
          <w:rFonts w:hint="eastAsia"/>
          <w:highlight w:val="none"/>
        </w:rPr>
        <w:t>，</w:t>
      </w:r>
      <w:r>
        <w:rPr>
          <w:highlight w:val="none"/>
        </w:rPr>
        <w:t>由双方进行协商，并以签订补充合同的方式加以确认，补充合同与本合同具有同等效力。若补充协议内容与本合同内容矛盾的，以时间在后的内容为准。</w:t>
      </w:r>
    </w:p>
    <w:p>
      <w:pPr>
        <w:pStyle w:val="5"/>
        <w:ind w:firstLine="600"/>
        <w:rPr>
          <w:highlight w:val="none"/>
        </w:rPr>
      </w:pPr>
      <w:r>
        <w:rPr>
          <w:highlight w:val="none"/>
        </w:rPr>
        <w:t>1</w:t>
      </w:r>
      <w:r>
        <w:rPr>
          <w:rFonts w:hint="eastAsia"/>
          <w:highlight w:val="none"/>
        </w:rPr>
        <w:t>8</w:t>
      </w:r>
      <w:r>
        <w:rPr>
          <w:highlight w:val="none"/>
        </w:rPr>
        <w:t>.2 经双方协商一致，并达成书面合同后，本合同可以解除</w:t>
      </w:r>
      <w:r>
        <w:rPr>
          <w:rFonts w:hint="eastAsia"/>
          <w:highlight w:val="none"/>
        </w:rPr>
        <w:t>，</w:t>
      </w:r>
      <w:r>
        <w:rPr>
          <w:highlight w:val="none"/>
        </w:rPr>
        <w:t>双方应就合同解除的后果在解约合同中一并做出约定。</w:t>
      </w:r>
      <w:r>
        <w:rPr>
          <w:rFonts w:hint="eastAsia"/>
          <w:highlight w:val="none"/>
        </w:rPr>
        <w:t>一方也可根据合同约定单方行使合同解除权</w:t>
      </w:r>
      <w:r>
        <w:rPr>
          <w:highlight w:val="none"/>
        </w:rPr>
        <w:t>。</w:t>
      </w:r>
    </w:p>
    <w:p>
      <w:pPr>
        <w:pStyle w:val="4"/>
        <w:ind w:firstLine="643"/>
        <w:rPr>
          <w:highlight w:val="none"/>
        </w:rPr>
      </w:pPr>
      <w:bookmarkStart w:id="315" w:name="_Toc11794"/>
      <w:bookmarkStart w:id="316" w:name="_Toc28999"/>
      <w:bookmarkStart w:id="317" w:name="_Toc417"/>
      <w:bookmarkStart w:id="318" w:name="_Toc13566"/>
      <w:r>
        <w:rPr>
          <w:highlight w:val="none"/>
        </w:rPr>
        <w:t>第</w:t>
      </w:r>
      <w:r>
        <w:rPr>
          <w:rFonts w:hint="eastAsia"/>
          <w:highlight w:val="none"/>
        </w:rPr>
        <w:t>十九</w:t>
      </w:r>
      <w:r>
        <w:rPr>
          <w:highlight w:val="none"/>
        </w:rPr>
        <w:t>条 合同生效及其他</w:t>
      </w:r>
      <w:bookmarkEnd w:id="315"/>
      <w:bookmarkEnd w:id="316"/>
      <w:bookmarkEnd w:id="317"/>
      <w:bookmarkEnd w:id="318"/>
    </w:p>
    <w:p>
      <w:pPr>
        <w:pStyle w:val="5"/>
        <w:ind w:firstLine="600"/>
        <w:rPr>
          <w:highlight w:val="none"/>
        </w:rPr>
      </w:pPr>
      <w:r>
        <w:rPr>
          <w:rFonts w:hint="eastAsia"/>
          <w:highlight w:val="none"/>
        </w:rPr>
        <w:t>19</w:t>
      </w:r>
      <w:r>
        <w:rPr>
          <w:highlight w:val="none"/>
        </w:rPr>
        <w:t xml:space="preserve">.1 </w:t>
      </w:r>
      <w:r>
        <w:rPr>
          <w:rFonts w:hint="eastAsia"/>
          <w:highlight w:val="none"/>
        </w:rPr>
        <w:t>乙方和甲方约定合同内容双方签字或盖章后生效，生效后不得以其他原因单方取消约定</w:t>
      </w:r>
      <w:r>
        <w:rPr>
          <w:highlight w:val="none"/>
        </w:rPr>
        <w:t>。</w:t>
      </w:r>
    </w:p>
    <w:p>
      <w:pPr>
        <w:pStyle w:val="5"/>
        <w:ind w:firstLine="600"/>
        <w:rPr>
          <w:highlight w:val="none"/>
        </w:rPr>
      </w:pPr>
      <w:r>
        <w:rPr>
          <w:rFonts w:hint="eastAsia"/>
          <w:highlight w:val="none"/>
        </w:rPr>
        <w:t>19</w:t>
      </w:r>
      <w:r>
        <w:rPr>
          <w:highlight w:val="none"/>
        </w:rPr>
        <w:t>.</w:t>
      </w:r>
      <w:r>
        <w:rPr>
          <w:rFonts w:hint="eastAsia"/>
          <w:highlight w:val="none"/>
        </w:rPr>
        <w:t>2</w:t>
      </w:r>
      <w:r>
        <w:rPr>
          <w:highlight w:val="none"/>
        </w:rPr>
        <w:t xml:space="preserve"> 本合同一式</w:t>
      </w:r>
      <w:r>
        <w:rPr>
          <w:rFonts w:hint="eastAsia"/>
          <w:highlight w:val="none"/>
        </w:rPr>
        <w:t xml:space="preserve">【 </w:t>
      </w:r>
      <w:r>
        <w:rPr>
          <w:highlight w:val="none"/>
        </w:rPr>
        <w:t xml:space="preserve"> </w:t>
      </w:r>
      <w:r>
        <w:rPr>
          <w:rFonts w:hint="eastAsia"/>
          <w:highlight w:val="none"/>
        </w:rPr>
        <w:t>】</w:t>
      </w:r>
      <w:r>
        <w:rPr>
          <w:highlight w:val="none"/>
        </w:rPr>
        <w:t>份，甲方执</w:t>
      </w:r>
      <w:r>
        <w:rPr>
          <w:rFonts w:hint="eastAsia"/>
          <w:highlight w:val="none"/>
        </w:rPr>
        <w:t xml:space="preserve">【 </w:t>
      </w:r>
      <w:r>
        <w:rPr>
          <w:highlight w:val="none"/>
        </w:rPr>
        <w:t xml:space="preserve"> </w:t>
      </w:r>
      <w:r>
        <w:rPr>
          <w:rFonts w:hint="eastAsia"/>
          <w:highlight w:val="none"/>
        </w:rPr>
        <w:t>】</w:t>
      </w:r>
      <w:r>
        <w:rPr>
          <w:highlight w:val="none"/>
        </w:rPr>
        <w:t>份，乙方执</w:t>
      </w:r>
      <w:r>
        <w:rPr>
          <w:rFonts w:hint="eastAsia"/>
          <w:highlight w:val="none"/>
        </w:rPr>
        <w:t xml:space="preserve">【 </w:t>
      </w:r>
      <w:r>
        <w:rPr>
          <w:highlight w:val="none"/>
        </w:rPr>
        <w:t xml:space="preserve"> </w:t>
      </w:r>
      <w:r>
        <w:rPr>
          <w:rFonts w:hint="eastAsia"/>
          <w:highlight w:val="none"/>
        </w:rPr>
        <w:t>】</w:t>
      </w:r>
      <w:r>
        <w:rPr>
          <w:highlight w:val="none"/>
        </w:rPr>
        <w:t>份</w:t>
      </w:r>
      <w:r>
        <w:rPr>
          <w:rFonts w:hint="eastAsia"/>
          <w:highlight w:val="none"/>
        </w:rPr>
        <w:t>，具有同等法律效力</w:t>
      </w:r>
      <w:r>
        <w:rPr>
          <w:highlight w:val="none"/>
        </w:rPr>
        <w:t>。</w:t>
      </w:r>
      <w:r>
        <w:rPr>
          <w:highlight w:val="none"/>
        </w:rPr>
        <w:br w:type="textWrapping"/>
      </w:r>
    </w:p>
    <w:p>
      <w:pPr>
        <w:pStyle w:val="5"/>
        <w:ind w:firstLine="0" w:firstLineChars="0"/>
        <w:rPr>
          <w:highlight w:val="none"/>
        </w:rPr>
      </w:pPr>
      <w:r>
        <w:rPr>
          <w:b/>
          <w:bCs/>
          <w:highlight w:val="none"/>
        </w:rPr>
        <w:t>甲方（盖章）：</w:t>
      </w:r>
    </w:p>
    <w:p>
      <w:pPr>
        <w:pStyle w:val="5"/>
        <w:ind w:firstLine="600"/>
        <w:rPr>
          <w:highlight w:val="none"/>
        </w:rPr>
      </w:pPr>
      <w:r>
        <w:rPr>
          <w:highlight w:val="none"/>
        </w:rPr>
        <w:t>法定代表人或授权代表（签字）：</w:t>
      </w:r>
    </w:p>
    <w:p>
      <w:pPr>
        <w:pStyle w:val="5"/>
        <w:ind w:firstLine="600"/>
        <w:rPr>
          <w:highlight w:val="none"/>
        </w:rPr>
      </w:pPr>
    </w:p>
    <w:p>
      <w:pPr>
        <w:pStyle w:val="5"/>
        <w:ind w:firstLine="600"/>
        <w:rPr>
          <w:highlight w:val="none"/>
        </w:rPr>
      </w:pPr>
      <w:r>
        <w:rPr>
          <w:highlight w:val="none"/>
        </w:rPr>
        <w:br w:type="textWrapping"/>
      </w:r>
      <w:r>
        <w:rPr>
          <w:b/>
          <w:bCs/>
          <w:highlight w:val="none"/>
        </w:rPr>
        <w:t>乙方（盖章）：</w:t>
      </w:r>
    </w:p>
    <w:p>
      <w:pPr>
        <w:pStyle w:val="5"/>
        <w:ind w:firstLine="600"/>
        <w:rPr>
          <w:highlight w:val="none"/>
        </w:rPr>
      </w:pPr>
      <w:r>
        <w:rPr>
          <w:highlight w:val="none"/>
        </w:rPr>
        <w:t>法定代表人或授权代表（签字）：</w:t>
      </w:r>
    </w:p>
    <w:p>
      <w:pPr>
        <w:pStyle w:val="5"/>
        <w:ind w:firstLine="600"/>
        <w:rPr>
          <w:rFonts w:asciiTheme="minorEastAsia" w:hAnsiTheme="minorEastAsia"/>
          <w:b/>
          <w:color w:val="auto"/>
          <w:sz w:val="44"/>
          <w:szCs w:val="44"/>
          <w:highlight w:val="none"/>
        </w:rPr>
        <w:sectPr>
          <w:footerReference r:id="rId18" w:type="first"/>
          <w:footerReference r:id="rId17" w:type="default"/>
          <w:pgSz w:w="11906" w:h="16838"/>
          <w:pgMar w:top="1644" w:right="1440" w:bottom="1644" w:left="1440" w:header="851" w:footer="794" w:gutter="0"/>
          <w:pgNumType w:chapStyle="1"/>
          <w:cols w:space="720" w:num="1"/>
          <w:docGrid w:linePitch="326" w:charSpace="0"/>
        </w:sectPr>
      </w:pPr>
    </w:p>
    <w:bookmarkEnd w:id="200"/>
    <w:p>
      <w:pPr>
        <w:pStyle w:val="3"/>
        <w:ind w:firstLine="883"/>
        <w:rPr>
          <w:highlight w:val="none"/>
        </w:rPr>
      </w:pPr>
      <w:bookmarkStart w:id="319" w:name="_Toc28524"/>
      <w:bookmarkStart w:id="320" w:name="_Toc459888260"/>
      <w:bookmarkStart w:id="321" w:name="_Toc25084"/>
      <w:bookmarkStart w:id="322" w:name="_Toc9460"/>
      <w:bookmarkStart w:id="323" w:name="_Toc9367"/>
      <w:bookmarkStart w:id="324" w:name="_Toc325034247"/>
      <w:r>
        <w:rPr>
          <w:rFonts w:hint="eastAsia"/>
          <w:highlight w:val="none"/>
        </w:rPr>
        <w:t>第六章 比选响应文件格式</w:t>
      </w:r>
      <w:bookmarkEnd w:id="319"/>
      <w:bookmarkEnd w:id="320"/>
      <w:bookmarkEnd w:id="321"/>
      <w:bookmarkEnd w:id="322"/>
      <w:bookmarkEnd w:id="323"/>
      <w:bookmarkEnd w:id="324"/>
    </w:p>
    <w:p>
      <w:pPr>
        <w:ind w:firstLine="480"/>
        <w:rPr>
          <w:highlight w:val="none"/>
        </w:rPr>
      </w:pPr>
      <w:r>
        <w:rPr>
          <w:rFonts w:hint="eastAsia"/>
          <w:highlight w:val="none"/>
        </w:rPr>
        <w:t>一、投标函部分</w:t>
      </w:r>
    </w:p>
    <w:p>
      <w:pPr>
        <w:ind w:firstLine="480"/>
        <w:rPr>
          <w:highlight w:val="none"/>
        </w:rPr>
      </w:pPr>
      <w:r>
        <w:rPr>
          <w:rFonts w:hint="eastAsia"/>
          <w:highlight w:val="none"/>
        </w:rPr>
        <w:t>（一）投标函</w:t>
      </w:r>
    </w:p>
    <w:p>
      <w:pPr>
        <w:ind w:firstLine="480"/>
        <w:rPr>
          <w:highlight w:val="none"/>
        </w:rPr>
      </w:pPr>
      <w:r>
        <w:rPr>
          <w:rFonts w:hint="eastAsia"/>
          <w:highlight w:val="none"/>
        </w:rPr>
        <w:t>（二）分项报价表</w:t>
      </w:r>
    </w:p>
    <w:p>
      <w:pPr>
        <w:ind w:firstLine="480"/>
        <w:rPr>
          <w:highlight w:val="none"/>
        </w:rPr>
      </w:pPr>
      <w:r>
        <w:rPr>
          <w:rFonts w:hint="eastAsia"/>
          <w:highlight w:val="none"/>
        </w:rPr>
        <w:t>（三）法定代表人身份证明</w:t>
      </w:r>
    </w:p>
    <w:p>
      <w:pPr>
        <w:ind w:firstLine="480"/>
        <w:rPr>
          <w:highlight w:val="none"/>
        </w:rPr>
      </w:pPr>
      <w:r>
        <w:rPr>
          <w:rFonts w:hint="eastAsia"/>
          <w:highlight w:val="none"/>
        </w:rPr>
        <w:t>（四）授权委托书</w:t>
      </w:r>
    </w:p>
    <w:p>
      <w:pPr>
        <w:ind w:firstLine="480"/>
        <w:rPr>
          <w:highlight w:val="none"/>
        </w:rPr>
      </w:pPr>
      <w:r>
        <w:rPr>
          <w:rFonts w:hint="eastAsia"/>
          <w:highlight w:val="none"/>
        </w:rPr>
        <w:t>（五）投标保证金</w:t>
      </w:r>
    </w:p>
    <w:p>
      <w:pPr>
        <w:ind w:firstLine="480"/>
        <w:rPr>
          <w:highlight w:val="none"/>
        </w:rPr>
      </w:pPr>
      <w:r>
        <w:rPr>
          <w:rFonts w:hint="eastAsia"/>
          <w:highlight w:val="none"/>
        </w:rPr>
        <w:t>二、资格审查部分</w:t>
      </w:r>
    </w:p>
    <w:p>
      <w:pPr>
        <w:ind w:firstLine="480"/>
        <w:rPr>
          <w:highlight w:val="none"/>
        </w:rPr>
      </w:pPr>
      <w:r>
        <w:rPr>
          <w:rFonts w:hint="eastAsia"/>
          <w:highlight w:val="none"/>
        </w:rPr>
        <w:t>（一）法定代表人身份证明</w:t>
      </w:r>
    </w:p>
    <w:p>
      <w:pPr>
        <w:ind w:firstLine="480"/>
        <w:rPr>
          <w:highlight w:val="none"/>
        </w:rPr>
      </w:pPr>
      <w:r>
        <w:rPr>
          <w:rFonts w:hint="eastAsia"/>
          <w:highlight w:val="none"/>
        </w:rPr>
        <w:t>（二）法定代表人授权委托书，</w:t>
      </w:r>
    </w:p>
    <w:p>
      <w:pPr>
        <w:ind w:firstLine="480"/>
        <w:rPr>
          <w:highlight w:val="none"/>
        </w:rPr>
      </w:pPr>
      <w:r>
        <w:rPr>
          <w:rFonts w:hint="eastAsia"/>
          <w:highlight w:val="none"/>
        </w:rPr>
        <w:t>（三）比选响应人基本情况表</w:t>
      </w:r>
    </w:p>
    <w:p>
      <w:pPr>
        <w:ind w:firstLine="480"/>
        <w:rPr>
          <w:highlight w:val="none"/>
        </w:rPr>
      </w:pPr>
    </w:p>
    <w:p>
      <w:pPr>
        <w:spacing w:line="360" w:lineRule="auto"/>
        <w:jc w:val="center"/>
        <w:rPr>
          <w:rFonts w:ascii="宋体" w:hAnsi="宋体"/>
          <w:b/>
          <w:sz w:val="32"/>
          <w:szCs w:val="32"/>
          <w:highlight w:val="none"/>
        </w:rPr>
      </w:pPr>
      <w:r>
        <w:rPr>
          <w:rFonts w:hint="eastAsia"/>
          <w:highlight w:val="none"/>
        </w:rPr>
        <w:br w:type="page"/>
      </w:r>
      <w:r>
        <w:rPr>
          <w:rFonts w:hint="eastAsia" w:ascii="宋体" w:hAnsi="宋体"/>
          <w:b/>
          <w:sz w:val="32"/>
          <w:szCs w:val="32"/>
          <w:highlight w:val="none"/>
          <w:u w:val="single"/>
        </w:rPr>
        <w:t>（项目名称）</w:t>
      </w: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 价 文 件</w:t>
      </w:r>
    </w:p>
    <w:p>
      <w:pPr>
        <w:spacing w:line="360" w:lineRule="auto"/>
        <w:ind w:firstLine="420"/>
        <w:rPr>
          <w:rFonts w:ascii="宋体" w:hAnsi="宋体"/>
          <w:szCs w:val="21"/>
          <w:highlight w:val="none"/>
        </w:rPr>
      </w:pPr>
    </w:p>
    <w:p>
      <w:pPr>
        <w:pStyle w:val="4"/>
        <w:ind w:firstLine="0" w:firstLineChars="0"/>
        <w:jc w:val="center"/>
        <w:rPr>
          <w:rFonts w:ascii="宋体" w:hAnsi="宋体"/>
          <w:color w:val="auto"/>
          <w:highlight w:val="none"/>
        </w:rPr>
      </w:pPr>
      <w:bookmarkStart w:id="325" w:name="_Toc21515"/>
      <w:bookmarkStart w:id="326" w:name="_Toc459888261"/>
      <w:bookmarkStart w:id="327" w:name="_Toc22704"/>
      <w:bookmarkStart w:id="328" w:name="_Toc13720"/>
      <w:bookmarkStart w:id="329" w:name="_Toc7943"/>
      <w:r>
        <w:rPr>
          <w:rFonts w:hint="eastAsia" w:ascii="宋体" w:hAnsi="宋体"/>
          <w:color w:val="auto"/>
          <w:highlight w:val="none"/>
        </w:rPr>
        <w:t>（投标函部分）</w:t>
      </w:r>
      <w:bookmarkEnd w:id="325"/>
      <w:bookmarkEnd w:id="326"/>
      <w:bookmarkEnd w:id="327"/>
      <w:bookmarkEnd w:id="328"/>
      <w:bookmarkEnd w:id="329"/>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比选响应人：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rPr>
          <w:rFonts w:ascii="宋体" w:hAnsi="宋体"/>
          <w:sz w:val="28"/>
          <w:szCs w:val="28"/>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420"/>
        <w:jc w:val="center"/>
        <w:rPr>
          <w:rFonts w:ascii="宋体" w:hAnsi="宋体"/>
          <w:szCs w:val="21"/>
          <w:highlight w:val="none"/>
          <w:u w:val="single"/>
        </w:rPr>
      </w:pPr>
    </w:p>
    <w:p>
      <w:pPr>
        <w:spacing w:line="360" w:lineRule="auto"/>
        <w:jc w:val="center"/>
        <w:rPr>
          <w:rFonts w:ascii="宋体" w:hAnsi="宋体"/>
          <w:szCs w:val="21"/>
          <w:highlight w:val="none"/>
        </w:rPr>
        <w:sectPr>
          <w:footerReference r:id="rId21" w:type="first"/>
          <w:headerReference r:id="rId19" w:type="default"/>
          <w:footerReference r:id="rId20" w:type="default"/>
          <w:pgSz w:w="11906" w:h="16838"/>
          <w:pgMar w:top="1440" w:right="1644" w:bottom="1440" w:left="1644" w:header="851" w:footer="794" w:gutter="0"/>
          <w:pgNumType w:start="41"/>
          <w:cols w:space="720" w:num="1"/>
          <w:titlePg/>
          <w:docGrid w:linePitch="312" w:charSpace="0"/>
        </w:sectPr>
      </w:pPr>
      <w:r>
        <w:rPr>
          <w:rFonts w:hint="eastAsia" w:ascii="宋体" w:hAnsi="宋体"/>
          <w:szCs w:val="21"/>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ind w:firstLine="420"/>
        <w:rPr>
          <w:rFonts w:ascii="宋体" w:hAnsi="宋体"/>
          <w:highlight w:val="none"/>
        </w:rPr>
      </w:pPr>
    </w:p>
    <w:p>
      <w:pPr>
        <w:ind w:firstLine="643"/>
        <w:jc w:val="center"/>
        <w:rPr>
          <w:b/>
          <w:sz w:val="32"/>
          <w:szCs w:val="32"/>
          <w:highlight w:val="none"/>
        </w:rPr>
      </w:pPr>
      <w:bookmarkStart w:id="330" w:name="_Toc325034248"/>
      <w:bookmarkStart w:id="331" w:name="_Toc265616334"/>
      <w:r>
        <w:rPr>
          <w:rFonts w:hint="eastAsia"/>
          <w:b/>
          <w:sz w:val="32"/>
          <w:szCs w:val="32"/>
          <w:highlight w:val="none"/>
        </w:rPr>
        <w:t>目  录</w:t>
      </w:r>
      <w:bookmarkEnd w:id="330"/>
      <w:bookmarkEnd w:id="331"/>
    </w:p>
    <w:p>
      <w:pPr>
        <w:ind w:firstLine="420"/>
        <w:rPr>
          <w:rFonts w:ascii="宋体" w:hAnsi="宋体"/>
          <w:highlight w:val="none"/>
        </w:rPr>
      </w:pPr>
    </w:p>
    <w:p>
      <w:pPr>
        <w:ind w:firstLine="480"/>
        <w:rPr>
          <w:highlight w:val="none"/>
        </w:rPr>
      </w:pPr>
      <w:r>
        <w:rPr>
          <w:rFonts w:hint="eastAsia"/>
          <w:highlight w:val="none"/>
        </w:rPr>
        <w:t>（一）投标函</w:t>
      </w:r>
    </w:p>
    <w:p>
      <w:pPr>
        <w:ind w:firstLine="480"/>
        <w:rPr>
          <w:highlight w:val="none"/>
        </w:rPr>
      </w:pPr>
      <w:r>
        <w:rPr>
          <w:rFonts w:hint="eastAsia"/>
          <w:highlight w:val="none"/>
        </w:rPr>
        <w:t>（二）分项报价表</w:t>
      </w:r>
    </w:p>
    <w:p>
      <w:pPr>
        <w:ind w:firstLine="480"/>
        <w:rPr>
          <w:highlight w:val="none"/>
        </w:rPr>
      </w:pPr>
      <w:r>
        <w:rPr>
          <w:rFonts w:hint="eastAsia"/>
          <w:highlight w:val="none"/>
        </w:rPr>
        <w:t>（三）法定代表人身份证明</w:t>
      </w:r>
    </w:p>
    <w:p>
      <w:pPr>
        <w:ind w:firstLine="480"/>
        <w:rPr>
          <w:highlight w:val="none"/>
        </w:rPr>
      </w:pPr>
      <w:r>
        <w:rPr>
          <w:rFonts w:hint="eastAsia"/>
          <w:highlight w:val="none"/>
        </w:rPr>
        <w:t>（四）授权委托书</w:t>
      </w:r>
    </w:p>
    <w:p>
      <w:pPr>
        <w:ind w:firstLine="480"/>
        <w:rPr>
          <w:highlight w:val="none"/>
        </w:rPr>
      </w:pPr>
      <w:r>
        <w:rPr>
          <w:rFonts w:hint="eastAsia"/>
          <w:highlight w:val="none"/>
        </w:rPr>
        <w:t>（五）投标保证金</w:t>
      </w:r>
    </w:p>
    <w:p>
      <w:pPr>
        <w:spacing w:line="360" w:lineRule="auto"/>
        <w:ind w:firstLine="420"/>
        <w:rPr>
          <w:rFonts w:ascii="宋体" w:hAnsi="宋体"/>
          <w:szCs w:val="21"/>
          <w:highlight w:val="none"/>
        </w:rPr>
        <w:sectPr>
          <w:pgSz w:w="11906" w:h="16838"/>
          <w:pgMar w:top="1440" w:right="1644" w:bottom="1440" w:left="1644" w:header="851" w:footer="794" w:gutter="0"/>
          <w:cols w:space="720" w:num="1"/>
          <w:titlePg/>
          <w:docGrid w:linePitch="312" w:charSpace="0"/>
        </w:sectPr>
      </w:pPr>
      <w:r>
        <w:rPr>
          <w:rFonts w:hint="eastAsia" w:ascii="宋体" w:hAnsi="宋体"/>
          <w:szCs w:val="21"/>
          <w:highlight w:val="none"/>
        </w:rPr>
        <w:t xml:space="preserve">    </w:t>
      </w:r>
    </w:p>
    <w:p>
      <w:pPr>
        <w:jc w:val="center"/>
        <w:rPr>
          <w:rFonts w:ascii="黑体" w:hAnsi="黑体" w:eastAsia="黑体"/>
          <w:sz w:val="28"/>
          <w:szCs w:val="28"/>
          <w:highlight w:val="none"/>
        </w:rPr>
      </w:pPr>
      <w:bookmarkStart w:id="332" w:name="_Toc265616335"/>
      <w:bookmarkStart w:id="333" w:name="_Toc459888262"/>
      <w:r>
        <w:rPr>
          <w:rFonts w:hint="eastAsia" w:ascii="黑体" w:hAnsi="黑体" w:eastAsia="黑体"/>
          <w:sz w:val="28"/>
          <w:szCs w:val="28"/>
          <w:highlight w:val="none"/>
        </w:rPr>
        <w:t>（一）</w:t>
      </w:r>
      <w:bookmarkEnd w:id="332"/>
      <w:bookmarkEnd w:id="333"/>
      <w:r>
        <w:rPr>
          <w:rFonts w:hint="eastAsia" w:ascii="黑体" w:hAnsi="黑体" w:eastAsia="黑体"/>
          <w:sz w:val="28"/>
          <w:szCs w:val="28"/>
          <w:highlight w:val="none"/>
        </w:rPr>
        <w:t>投标函</w:t>
      </w:r>
    </w:p>
    <w:p>
      <w:pPr>
        <w:spacing w:line="360" w:lineRule="auto"/>
        <w:ind w:firstLine="420"/>
        <w:rPr>
          <w:rFonts w:ascii="宋体" w:hAnsi="宋体"/>
          <w:szCs w:val="21"/>
          <w:highlight w:val="none"/>
        </w:rPr>
      </w:pPr>
      <w:bookmarkStart w:id="334" w:name="_Toc265616336"/>
      <w:bookmarkStart w:id="335" w:name="_Toc325034249"/>
    </w:p>
    <w:p>
      <w:pPr>
        <w:spacing w:line="360" w:lineRule="auto"/>
        <w:ind w:firstLine="420"/>
        <w:rPr>
          <w:highlight w:val="none"/>
        </w:rPr>
      </w:pPr>
    </w:p>
    <w:p>
      <w:pPr>
        <w:spacing w:line="360" w:lineRule="auto"/>
        <w:ind w:firstLine="480"/>
        <w:rPr>
          <w:rFonts w:ascii="宋体" w:hAnsi="宋体"/>
          <w:highlight w:val="none"/>
        </w:rPr>
      </w:pPr>
      <w:r>
        <w:rPr>
          <w:rFonts w:hint="eastAsia" w:ascii="宋体" w:hAnsi="宋体"/>
          <w:highlight w:val="none"/>
        </w:rPr>
        <w:t>重庆机场集团有限公司：</w:t>
      </w:r>
    </w:p>
    <w:p>
      <w:pPr>
        <w:spacing w:line="360" w:lineRule="auto"/>
        <w:ind w:firstLine="480"/>
        <w:rPr>
          <w:rFonts w:ascii="宋体" w:hAnsi="宋体"/>
          <w:highlight w:val="none"/>
        </w:rPr>
      </w:pPr>
      <w:r>
        <w:rPr>
          <w:rFonts w:ascii="宋体" w:hAnsi="宋体"/>
          <w:highlight w:val="none"/>
        </w:rPr>
        <w:t>1．我方已仔细研究了</w:t>
      </w:r>
      <w:r>
        <w:rPr>
          <w:rFonts w:ascii="宋体" w:hAnsi="宋体"/>
          <w:highlight w:val="none"/>
          <w:u w:val="single"/>
        </w:rPr>
        <w:t xml:space="preserve">                    </w:t>
      </w:r>
      <w:r>
        <w:rPr>
          <w:rFonts w:ascii="宋体" w:hAnsi="宋体"/>
          <w:highlight w:val="none"/>
        </w:rPr>
        <w:t>（项目名称）项目</w:t>
      </w:r>
      <w:r>
        <w:rPr>
          <w:rFonts w:hint="eastAsia" w:ascii="宋体" w:hAnsi="宋体"/>
          <w:highlight w:val="none"/>
          <w:lang w:eastAsia="zh-CN"/>
        </w:rPr>
        <w:t>比选</w:t>
      </w:r>
      <w:r>
        <w:rPr>
          <w:rFonts w:ascii="宋体" w:hAnsi="宋体"/>
          <w:highlight w:val="none"/>
        </w:rPr>
        <w:t>文件的全部内容，愿意以人民币（大写）</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元（¥</w:t>
      </w:r>
      <w:r>
        <w:rPr>
          <w:rFonts w:ascii="宋体" w:hAnsi="宋体"/>
          <w:highlight w:val="none"/>
          <w:u w:val="single"/>
        </w:rPr>
        <w:t xml:space="preserve">        </w:t>
      </w:r>
      <w:r>
        <w:rPr>
          <w:rFonts w:ascii="宋体" w:hAnsi="宋体"/>
          <w:highlight w:val="none"/>
        </w:rPr>
        <w:t>）</w:t>
      </w:r>
      <w:r>
        <w:rPr>
          <w:rFonts w:hint="eastAsia" w:ascii="宋体" w:hAnsi="宋体"/>
          <w:highlight w:val="none"/>
        </w:rPr>
        <w:t>不</w:t>
      </w:r>
      <w:r>
        <w:rPr>
          <w:rFonts w:ascii="宋体" w:hAnsi="宋体"/>
          <w:highlight w:val="none"/>
        </w:rPr>
        <w:t>含增值税专用发票的总</w:t>
      </w:r>
      <w:r>
        <w:rPr>
          <w:rFonts w:hint="eastAsia" w:ascii="宋体" w:hAnsi="宋体"/>
          <w:highlight w:val="none"/>
        </w:rPr>
        <w:t>报价</w:t>
      </w:r>
      <w:r>
        <w:rPr>
          <w:rFonts w:ascii="宋体" w:hAnsi="宋体"/>
          <w:highlight w:val="none"/>
        </w:rPr>
        <w:t>，增值税</w:t>
      </w:r>
      <w:r>
        <w:rPr>
          <w:rFonts w:hint="eastAsia" w:ascii="宋体" w:hAnsi="宋体"/>
          <w:highlight w:val="none"/>
        </w:rPr>
        <w:t>税</w:t>
      </w:r>
      <w:r>
        <w:rPr>
          <w:rFonts w:ascii="宋体" w:hAnsi="宋体"/>
          <w:highlight w:val="none"/>
        </w:rPr>
        <w:t>率</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%，工期</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日历天，按合同约定实施和完成承包项目的全部工作。</w:t>
      </w:r>
    </w:p>
    <w:p>
      <w:pPr>
        <w:spacing w:line="360" w:lineRule="auto"/>
        <w:ind w:firstLine="480"/>
        <w:rPr>
          <w:rFonts w:ascii="宋体" w:hAnsi="宋体"/>
          <w:highlight w:val="none"/>
        </w:rPr>
      </w:pPr>
      <w:r>
        <w:rPr>
          <w:rFonts w:ascii="宋体" w:hAnsi="宋体"/>
          <w:highlight w:val="none"/>
        </w:rPr>
        <w:t>2．我方承诺在谈判有效期内不修改、撤销谈判文件。</w:t>
      </w:r>
    </w:p>
    <w:p>
      <w:pPr>
        <w:spacing w:line="360" w:lineRule="auto"/>
        <w:ind w:firstLine="480"/>
        <w:rPr>
          <w:rFonts w:ascii="宋体" w:hAnsi="宋体"/>
          <w:highlight w:val="none"/>
        </w:rPr>
      </w:pPr>
      <w:r>
        <w:rPr>
          <w:rFonts w:ascii="宋体" w:hAnsi="宋体"/>
          <w:highlight w:val="none"/>
        </w:rPr>
        <w:t>3．如我方成交：</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1）我方承诺在收到成交通知后，在规定的期限内与你方签订合同。</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2）随同本</w:t>
      </w:r>
      <w:r>
        <w:rPr>
          <w:rFonts w:hint="eastAsia" w:ascii="宋体" w:hAnsi="宋体"/>
          <w:highlight w:val="none"/>
        </w:rPr>
        <w:t>投标函</w:t>
      </w:r>
      <w:r>
        <w:rPr>
          <w:rFonts w:ascii="宋体" w:hAnsi="宋体"/>
          <w:highlight w:val="none"/>
        </w:rPr>
        <w:t>递交的</w:t>
      </w:r>
      <w:r>
        <w:rPr>
          <w:rFonts w:hint="eastAsia" w:ascii="宋体" w:hAnsi="宋体"/>
          <w:highlight w:val="none"/>
        </w:rPr>
        <w:t>投标函</w:t>
      </w:r>
      <w:r>
        <w:rPr>
          <w:rFonts w:ascii="宋体" w:hAnsi="宋体"/>
          <w:highlight w:val="none"/>
        </w:rPr>
        <w:t>附录属于合同文件的组成部分。</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3）我方承诺在合同约定的期限内完成并移交全部合同项目和成果。</w:t>
      </w:r>
    </w:p>
    <w:p>
      <w:pPr>
        <w:spacing w:line="360" w:lineRule="auto"/>
        <w:ind w:firstLine="480"/>
        <w:rPr>
          <w:rFonts w:ascii="宋体" w:hAnsi="宋体"/>
          <w:highlight w:val="none"/>
        </w:rPr>
      </w:pPr>
      <w:r>
        <w:rPr>
          <w:rFonts w:ascii="宋体" w:hAnsi="宋体"/>
          <w:highlight w:val="none"/>
        </w:rPr>
        <w:t>4．我方在此声明，所递交的谈判文件及有关资料内容完整、真实和准确。</w:t>
      </w:r>
    </w:p>
    <w:p>
      <w:pPr>
        <w:spacing w:line="360" w:lineRule="auto"/>
        <w:ind w:firstLine="480"/>
        <w:rPr>
          <w:rFonts w:ascii="宋体" w:hAnsi="宋体"/>
          <w:highlight w:val="none"/>
        </w:rPr>
      </w:pPr>
      <w:r>
        <w:rPr>
          <w:rFonts w:ascii="宋体" w:hAnsi="宋体"/>
          <w:highlight w:val="none"/>
        </w:rPr>
        <w:t>5．除非达到另外协议并生效，你方的成交通知书和本谈判文件将成为约束双方的合同文件组成部分。</w:t>
      </w:r>
    </w:p>
    <w:p>
      <w:pPr>
        <w:spacing w:line="360" w:lineRule="auto"/>
        <w:ind w:firstLine="480"/>
        <w:rPr>
          <w:rFonts w:ascii="宋体" w:hAnsi="宋体"/>
          <w:highlight w:val="none"/>
        </w:rPr>
      </w:pPr>
    </w:p>
    <w:p>
      <w:pPr>
        <w:spacing w:line="360" w:lineRule="auto"/>
        <w:ind w:firstLine="480"/>
        <w:rPr>
          <w:rFonts w:ascii="宋体" w:hAnsi="宋体"/>
          <w:highlight w:val="none"/>
          <w:u w:val="single"/>
        </w:rPr>
      </w:pPr>
      <w:r>
        <w:rPr>
          <w:rFonts w:hint="eastAsia" w:ascii="宋体" w:hAnsi="宋体"/>
          <w:highlight w:val="none"/>
          <w:lang w:eastAsia="zh-CN"/>
        </w:rPr>
        <w:t>比选响应人</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u w:val="single"/>
        </w:rPr>
        <w:t>（盖单位公章）</w:t>
      </w:r>
    </w:p>
    <w:p>
      <w:pPr>
        <w:spacing w:line="360" w:lineRule="auto"/>
        <w:ind w:firstLine="480"/>
        <w:rPr>
          <w:rFonts w:ascii="宋体" w:hAnsi="宋体"/>
          <w:highlight w:val="none"/>
        </w:rPr>
      </w:pPr>
      <w:r>
        <w:rPr>
          <w:rFonts w:hint="eastAsia" w:ascii="宋体" w:hAnsi="宋体"/>
          <w:highlight w:val="none"/>
        </w:rPr>
        <w:t>法定代表人或其委托代理人：</w:t>
      </w:r>
      <w:r>
        <w:rPr>
          <w:rFonts w:ascii="仿宋" w:hAnsi="仿宋" w:eastAsia="仿宋"/>
          <w:sz w:val="28"/>
          <w:szCs w:val="28"/>
          <w:highlight w:val="none"/>
          <w:u w:val="single"/>
        </w:rPr>
        <w:tab/>
      </w:r>
      <w:r>
        <w:rPr>
          <w:rFonts w:hint="eastAsia" w:ascii="仿宋" w:hAnsi="仿宋" w:eastAsia="仿宋"/>
          <w:sz w:val="28"/>
          <w:szCs w:val="28"/>
          <w:highlight w:val="none"/>
          <w:u w:val="single"/>
          <w:lang w:val="en-US" w:eastAsia="zh-CN"/>
        </w:rPr>
        <w:t xml:space="preserve">            （</w:t>
      </w:r>
      <w:r>
        <w:rPr>
          <w:rFonts w:hint="eastAsia" w:ascii="宋体" w:hAnsi="宋体"/>
          <w:highlight w:val="none"/>
          <w:u w:val="single"/>
          <w:lang w:val="en-US" w:eastAsia="zh-CN"/>
        </w:rPr>
        <w:t>签字</w:t>
      </w:r>
      <w:r>
        <w:rPr>
          <w:rFonts w:hint="eastAsia" w:ascii="仿宋" w:hAnsi="仿宋" w:eastAsia="仿宋"/>
          <w:sz w:val="28"/>
          <w:szCs w:val="28"/>
          <w:highlight w:val="none"/>
          <w:u w:val="single"/>
          <w:lang w:val="en-US" w:eastAsia="zh-CN"/>
        </w:rPr>
        <w:t>）</w:t>
      </w:r>
    </w:p>
    <w:p>
      <w:pPr>
        <w:spacing w:line="360" w:lineRule="auto"/>
        <w:ind w:firstLine="480"/>
        <w:rPr>
          <w:rFonts w:ascii="宋体" w:hAnsi="宋体"/>
          <w:highlight w:val="none"/>
        </w:rPr>
      </w:pPr>
      <w:r>
        <w:rPr>
          <w:rFonts w:hint="eastAsia" w:ascii="宋体" w:hAnsi="宋体"/>
          <w:highlight w:val="none"/>
        </w:rPr>
        <w:t>地址：</w:t>
      </w:r>
      <w:r>
        <w:rPr>
          <w:rFonts w:ascii="宋体" w:hAnsi="宋体"/>
          <w:highlight w:val="none"/>
        </w:rPr>
        <w:tab/>
      </w:r>
      <w:r>
        <w:rPr>
          <w:rFonts w:hint="eastAsia" w:ascii="仿宋" w:hAnsi="仿宋" w:eastAsia="仿宋"/>
          <w:sz w:val="28"/>
          <w:szCs w:val="28"/>
          <w:highlight w:val="none"/>
          <w:u w:val="single"/>
          <w:lang w:val="en-US" w:eastAsia="zh-CN"/>
        </w:rPr>
        <w:t xml:space="preserve">                   </w:t>
      </w:r>
    </w:p>
    <w:p>
      <w:pPr>
        <w:spacing w:line="360" w:lineRule="auto"/>
        <w:ind w:firstLine="480"/>
        <w:rPr>
          <w:rFonts w:ascii="宋体" w:hAnsi="宋体"/>
          <w:highlight w:val="none"/>
        </w:rPr>
      </w:pPr>
      <w:r>
        <w:rPr>
          <w:rFonts w:hint="eastAsia" w:ascii="宋体" w:hAnsi="宋体"/>
          <w:highlight w:val="none"/>
        </w:rPr>
        <w:t>网址：</w:t>
      </w:r>
      <w:r>
        <w:rPr>
          <w:rFonts w:hint="eastAsia" w:ascii="宋体" w:hAnsi="宋体"/>
          <w:highlight w:val="none"/>
          <w:u w:val="single"/>
        </w:rPr>
        <w:t>　</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电话：</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传真：</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邮政编码：</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 xml:space="preserve">                      </w:t>
      </w:r>
    </w:p>
    <w:p>
      <w:pPr>
        <w:spacing w:line="360" w:lineRule="auto"/>
        <w:ind w:firstLine="480"/>
        <w:jc w:val="right"/>
        <w:rPr>
          <w:rFonts w:ascii="宋体" w:hAnsi="宋体"/>
          <w:highlight w:val="none"/>
        </w:rPr>
      </w:pPr>
      <w:r>
        <w:rPr>
          <w:rFonts w:hint="eastAsia" w:ascii="宋体" w:hAnsi="宋体"/>
          <w:highlight w:val="none"/>
          <w:u w:val="single"/>
          <w:lang w:val="en-US" w:eastAsia="zh-CN"/>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360" w:lineRule="auto"/>
        <w:ind w:firstLine="480"/>
        <w:rPr>
          <w:rFonts w:ascii="宋体" w:hAnsi="宋体"/>
          <w:highlight w:val="none"/>
        </w:rPr>
        <w:sectPr>
          <w:footerReference r:id="rId22"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highlight w:val="none"/>
        </w:rPr>
      </w:pPr>
    </w:p>
    <w:p>
      <w:pPr>
        <w:jc w:val="center"/>
        <w:rPr>
          <w:rFonts w:ascii="黑体" w:hAnsi="黑体" w:eastAsia="黑体" w:cs="Times New Roman"/>
          <w:b/>
          <w:sz w:val="28"/>
          <w:szCs w:val="28"/>
          <w:highlight w:val="none"/>
        </w:rPr>
      </w:pPr>
      <w:r>
        <w:rPr>
          <w:rFonts w:hint="eastAsia" w:ascii="黑体" w:hAnsi="黑体" w:eastAsia="黑体" w:cs="Times New Roman"/>
          <w:b/>
          <w:sz w:val="28"/>
          <w:szCs w:val="28"/>
          <w:highlight w:val="none"/>
        </w:rPr>
        <w:t>（二）分项报价表</w:t>
      </w:r>
    </w:p>
    <w:p>
      <w:pPr>
        <w:tabs>
          <w:tab w:val="left" w:pos="4760"/>
          <w:tab w:val="left" w:pos="7560"/>
          <w:tab w:val="left" w:pos="8300"/>
        </w:tabs>
        <w:autoSpaceDE w:val="0"/>
        <w:autoSpaceDN w:val="0"/>
        <w:adjustRightInd w:val="0"/>
        <w:spacing w:line="360" w:lineRule="auto"/>
        <w:ind w:right="210" w:firstLine="648" w:firstLineChars="270"/>
        <w:jc w:val="left"/>
        <w:rPr>
          <w:rFonts w:ascii="宋体" w:hAnsi="宋体"/>
          <w:highlight w:val="none"/>
        </w:rPr>
      </w:pPr>
      <w:r>
        <w:rPr>
          <w:rFonts w:hint="eastAsia" w:ascii="宋体" w:hAnsi="宋体"/>
          <w:highlight w:val="none"/>
        </w:rPr>
        <w:t>项目名称：</w:t>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p>
    <w:p>
      <w:pPr>
        <w:adjustRightInd w:val="0"/>
        <w:spacing w:before="156" w:beforeLines="50" w:line="300" w:lineRule="auto"/>
        <w:ind w:firstLine="480" w:firstLineChars="200"/>
        <w:jc w:val="right"/>
        <w:textAlignment w:val="baseline"/>
        <w:rPr>
          <w:rFonts w:ascii="宋体" w:hAnsi="宋体"/>
          <w:highlight w:val="none"/>
        </w:rPr>
      </w:pPr>
      <w:r>
        <w:rPr>
          <w:rFonts w:hint="eastAsia" w:ascii="宋体" w:hAnsi="宋体"/>
          <w:highlight w:val="none"/>
        </w:rPr>
        <w:t>（价格单位：元）</w:t>
      </w:r>
    </w:p>
    <w:p>
      <w:pPr>
        <w:adjustRightInd w:val="0"/>
        <w:spacing w:before="156" w:beforeLines="50" w:line="300" w:lineRule="auto"/>
        <w:ind w:firstLine="480" w:firstLineChars="200"/>
        <w:jc w:val="right"/>
        <w:textAlignment w:val="baseline"/>
        <w:rPr>
          <w:rFonts w:ascii="宋体" w:hAnsi="宋体"/>
          <w:highlight w:val="none"/>
        </w:rPr>
      </w:pPr>
    </w:p>
    <w:tbl>
      <w:tblPr>
        <w:tblStyle w:val="26"/>
        <w:tblpPr w:leftFromText="180" w:rightFromText="180" w:vertAnchor="text" w:horzAnchor="page" w:tblpX="1431" w:tblpY="573"/>
        <w:tblOverlap w:val="never"/>
        <w:tblW w:w="14124" w:type="dxa"/>
        <w:tblInd w:w="0" w:type="dxa"/>
        <w:tblLayout w:type="fixed"/>
        <w:tblCellMar>
          <w:top w:w="0" w:type="dxa"/>
          <w:left w:w="108" w:type="dxa"/>
          <w:bottom w:w="0" w:type="dxa"/>
          <w:right w:w="108" w:type="dxa"/>
        </w:tblCellMar>
      </w:tblPr>
      <w:tblGrid>
        <w:gridCol w:w="566"/>
        <w:gridCol w:w="713"/>
        <w:gridCol w:w="2600"/>
        <w:gridCol w:w="1373"/>
        <w:gridCol w:w="658"/>
        <w:gridCol w:w="1251"/>
        <w:gridCol w:w="1534"/>
        <w:gridCol w:w="895"/>
        <w:gridCol w:w="1918"/>
        <w:gridCol w:w="1308"/>
        <w:gridCol w:w="1308"/>
      </w:tblGrid>
      <w:tr>
        <w:tblPrEx>
          <w:tblCellMar>
            <w:top w:w="0" w:type="dxa"/>
            <w:left w:w="108" w:type="dxa"/>
            <w:bottom w:w="0" w:type="dxa"/>
            <w:right w:w="108" w:type="dxa"/>
          </w:tblCellMar>
        </w:tblPrEx>
        <w:trPr>
          <w:trHeight w:val="1065" w:hRule="exact"/>
        </w:trPr>
        <w:tc>
          <w:tcPr>
            <w:tcW w:w="56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T2</w:t>
            </w:r>
          </w:p>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序号</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品种</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规格</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数量</w:t>
            </w: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单位</w:t>
            </w: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单价（不含税）</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总价</w:t>
            </w: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样品图</w:t>
            </w: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备注</w:t>
            </w: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增值税</w:t>
            </w: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宋体" w:cs="Times New Roman"/>
                <w:sz w:val="21"/>
                <w:szCs w:val="24"/>
                <w:highlight w:val="none"/>
              </w:rPr>
            </w:pPr>
            <w:r>
              <w:rPr>
                <w:rFonts w:ascii="Times New Roman" w:hAnsi="Times New Roman" w:eastAsia="宋体" w:cs="Times New Roman"/>
                <w:sz w:val="21"/>
                <w:szCs w:val="24"/>
                <w:highlight w:val="none"/>
              </w:rPr>
              <w:t>需提供样品图</w:t>
            </w:r>
          </w:p>
        </w:tc>
        <w:tc>
          <w:tcPr>
            <w:tcW w:w="1308" w:type="dxa"/>
            <w:vMerge w:val="restart"/>
            <w:tcBorders>
              <w:top w:val="single" w:color="auto" w:sz="4" w:space="0"/>
              <w:left w:val="nil"/>
              <w:right w:val="single" w:color="auto" w:sz="4" w:space="0"/>
            </w:tcBorders>
            <w:vAlign w:val="bottom"/>
          </w:tcPr>
          <w:p>
            <w:pPr>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widowControl/>
              <w:jc w:val="center"/>
              <w:rPr>
                <w:rFonts w:ascii="Times New Roman" w:hAnsi="Times New Roman" w:eastAsia="宋体" w:cs="Times New Roman"/>
                <w:sz w:val="21"/>
                <w:szCs w:val="24"/>
                <w:highlight w:val="none"/>
              </w:rPr>
            </w:pPr>
          </w:p>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bottom"/>
          </w:tcPr>
          <w:p>
            <w:pPr>
              <w:jc w:val="center"/>
              <w:rPr>
                <w:rFonts w:ascii="Times New Roman" w:hAnsi="Times New Roman" w:eastAsia="宋体" w:cs="Times New Roman"/>
                <w:sz w:val="21"/>
                <w:szCs w:val="24"/>
                <w:highlight w:val="none"/>
              </w:rPr>
            </w:pPr>
          </w:p>
        </w:tc>
      </w:tr>
      <w:tr>
        <w:tblPrEx>
          <w:tblCellMar>
            <w:top w:w="0" w:type="dxa"/>
            <w:left w:w="108" w:type="dxa"/>
            <w:bottom w:w="0" w:type="dxa"/>
            <w:right w:w="108" w:type="dxa"/>
          </w:tblCellMar>
        </w:tblPrEx>
        <w:trPr>
          <w:trHeight w:val="73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vMerge w:val="continue"/>
            <w:tcBorders>
              <w:left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sz w:val="21"/>
                <w:szCs w:val="24"/>
                <w:highlight w:val="none"/>
              </w:rPr>
            </w:pPr>
          </w:p>
        </w:tc>
      </w:tr>
      <w:tr>
        <w:tblPrEx>
          <w:tblCellMar>
            <w:top w:w="0" w:type="dxa"/>
            <w:left w:w="108" w:type="dxa"/>
            <w:bottom w:w="0" w:type="dxa"/>
            <w:right w:w="108" w:type="dxa"/>
          </w:tblCellMar>
        </w:tblPrEx>
        <w:trPr>
          <w:trHeight w:val="615"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H30cm*30cm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r>
              <w:rPr>
                <w:rFonts w:hint="eastAsia" w:ascii="宋体" w:hAnsi="宋体" w:eastAsia="宋体" w:cs="宋体"/>
                <w:kern w:val="0"/>
                <w:sz w:val="22"/>
                <w:highlight w:val="none"/>
              </w:rPr>
              <w:drawing>
                <wp:anchor distT="0" distB="0" distL="114300" distR="114300" simplePos="0" relativeHeight="251673600" behindDoc="0" locked="0" layoutInCell="1" allowOverlap="1">
                  <wp:simplePos x="0" y="0"/>
                  <wp:positionH relativeFrom="column">
                    <wp:posOffset>4675505</wp:posOffset>
                  </wp:positionH>
                  <wp:positionV relativeFrom="paragraph">
                    <wp:posOffset>3499485</wp:posOffset>
                  </wp:positionV>
                  <wp:extent cx="1104900" cy="11239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04900" cy="1123950"/>
                          </a:xfrm>
                          <a:prstGeom prst="rect">
                            <a:avLst/>
                          </a:prstGeom>
                          <a:noFill/>
                          <a:ln>
                            <a:noFill/>
                          </a:ln>
                        </pic:spPr>
                      </pic:pic>
                    </a:graphicData>
                  </a:graphic>
                </wp:anchor>
              </w:drawing>
            </w:r>
          </w:p>
        </w:tc>
        <w:tc>
          <w:tcPr>
            <w:tcW w:w="1308"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蝴蝶兰（粉红色）</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跳舞兰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龙舌兰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五彩千年木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H120-180cm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9</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针葵</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老桩多头龙血树（五头以上）</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滴水观音</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H160-180cm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哑光红色花器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H60cm*R50cm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哑光黑色花器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H60cm*R50cm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托盘（大）</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D40cm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套盆</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T3A</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一品红</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变叶木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万年青</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H40-45cm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西洋杜鹃</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凤梨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玻璃钢花器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L200-300cm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玻璃钢花器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H100-120cm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栅栏</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米</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组合花架</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H85-120cm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五彩千年木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H120-180cm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针葵</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老桩多头龙血树（五头以上）</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滴水观音</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H160-180cm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p>
            <w:pPr>
              <w:jc w:val="center"/>
              <w:rPr>
                <w:rFonts w:ascii="宋体" w:hAnsi="宋体" w:eastAsia="宋体" w:cs="宋体"/>
                <w:kern w:val="0"/>
                <w:sz w:val="22"/>
                <w:highlight w:val="none"/>
              </w:rPr>
            </w:pPr>
          </w:p>
        </w:tc>
        <w:tc>
          <w:tcPr>
            <w:tcW w:w="1308" w:type="dxa"/>
            <w:vMerge w:val="restart"/>
            <w:tcBorders>
              <w:top w:val="nil"/>
              <w:left w:val="nil"/>
              <w:right w:val="single" w:color="auto" w:sz="4" w:space="0"/>
            </w:tcBorders>
            <w:vAlign w:val="bottom"/>
          </w:tcPr>
          <w:p>
            <w:pPr>
              <w:widowControl/>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widowControl/>
              <w:jc w:val="center"/>
              <w:rPr>
                <w:rFonts w:hint="eastAsia" w:ascii="宋体" w:hAnsi="宋体" w:eastAsia="宋体" w:cs="宋体"/>
                <w:kern w:val="0"/>
                <w:sz w:val="22"/>
                <w:highlight w:val="none"/>
              </w:rPr>
            </w:pPr>
          </w:p>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vMerge w:val="continue"/>
            <w:tcBorders>
              <w:left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76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蝴蝶兰（粉红色）</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跳舞兰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仙客来</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菊花</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91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仿真花</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束</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幸福树</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绿萝</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常青藤</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矾根</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红掌</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H60-70cm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海棠</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套盆</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托盘</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草皮</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0.5m^2</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平米</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球状红叶石楠</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球状小叶黄杨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47</w:t>
            </w:r>
          </w:p>
        </w:tc>
        <w:tc>
          <w:tcPr>
            <w:tcW w:w="26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大叶栀子花苗</w:t>
            </w:r>
          </w:p>
        </w:tc>
        <w:tc>
          <w:tcPr>
            <w:tcW w:w="137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H30-40cm</w:t>
            </w:r>
          </w:p>
        </w:tc>
        <w:tc>
          <w:tcPr>
            <w:tcW w:w="658" w:type="dxa"/>
            <w:tcBorders>
              <w:top w:val="nil"/>
              <w:left w:val="nil"/>
              <w:bottom w:val="nil"/>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nil"/>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合计</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bl>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注：1. 分项报价表中样品图需与比选文件“第二章 T2、T3A航站楼零星植物及花器采购项目采购需求表”中参考图大致相近；</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rPr>
        <w:t>2. 表中不含税单价包含产品</w:t>
      </w:r>
      <w:r>
        <w:rPr>
          <w:rFonts w:hint="eastAsia" w:cs="Times New Roman" w:asciiTheme="majorEastAsia" w:hAnsiTheme="majorEastAsia" w:eastAsiaTheme="majorEastAsia"/>
          <w:szCs w:val="24"/>
          <w:highlight w:val="none"/>
          <w:lang w:eastAsia="zh-CN"/>
        </w:rPr>
        <w:t>单价及供应所需的样品、</w:t>
      </w:r>
      <w:r>
        <w:rPr>
          <w:rFonts w:hint="eastAsia" w:cs="Times New Roman" w:asciiTheme="majorEastAsia" w:hAnsiTheme="majorEastAsia" w:eastAsiaTheme="majorEastAsia"/>
          <w:szCs w:val="24"/>
          <w:highlight w:val="none"/>
        </w:rPr>
        <w:t>人工、运输、设置、养护、除渣及质量保证、证件办理等</w:t>
      </w:r>
      <w:r>
        <w:rPr>
          <w:rFonts w:hint="eastAsia" w:cs="Times New Roman" w:asciiTheme="majorEastAsia" w:hAnsiTheme="majorEastAsia" w:eastAsiaTheme="majorEastAsia"/>
          <w:szCs w:val="24"/>
          <w:highlight w:val="none"/>
          <w:lang w:eastAsia="zh-CN"/>
        </w:rPr>
        <w:t>所有</w:t>
      </w:r>
      <w:r>
        <w:rPr>
          <w:rFonts w:hint="eastAsia" w:cs="Times New Roman" w:asciiTheme="majorEastAsia" w:hAnsiTheme="majorEastAsia" w:eastAsiaTheme="majorEastAsia"/>
          <w:szCs w:val="24"/>
          <w:highlight w:val="none"/>
        </w:rPr>
        <w:t>费用</w:t>
      </w:r>
      <w:r>
        <w:rPr>
          <w:rFonts w:hint="eastAsia" w:cs="Times New Roman" w:asciiTheme="majorEastAsia" w:hAnsiTheme="majorEastAsia" w:eastAsiaTheme="majorEastAsia"/>
          <w:szCs w:val="24"/>
          <w:highlight w:val="none"/>
          <w:lang w:eastAsia="zh-CN"/>
        </w:rPr>
        <w:t>；</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val="en-US" w:eastAsia="zh-CN"/>
        </w:rPr>
        <w:t xml:space="preserve">3. </w:t>
      </w:r>
      <w:r>
        <w:rPr>
          <w:rFonts w:hint="eastAsia"/>
          <w:highlight w:val="none"/>
        </w:rPr>
        <w:t>花器、仿真植物等需提供样品</w:t>
      </w:r>
      <w:r>
        <w:rPr>
          <w:rFonts w:hint="eastAsia"/>
          <w:highlight w:val="none"/>
          <w:lang w:eastAsia="zh-CN"/>
        </w:rPr>
        <w:t>的产品</w:t>
      </w:r>
      <w:r>
        <w:rPr>
          <w:rFonts w:hint="eastAsia"/>
          <w:highlight w:val="none"/>
        </w:rPr>
        <w:t>，如因样品质量、效果等不符合</w:t>
      </w:r>
      <w:r>
        <w:rPr>
          <w:rFonts w:hint="eastAsia"/>
          <w:highlight w:val="none"/>
          <w:lang w:eastAsia="zh-CN"/>
        </w:rPr>
        <w:t>采购人</w:t>
      </w:r>
      <w:r>
        <w:rPr>
          <w:rFonts w:hint="eastAsia"/>
          <w:highlight w:val="none"/>
        </w:rPr>
        <w:t>要求，所有退货及运输费用由</w:t>
      </w:r>
      <w:r>
        <w:rPr>
          <w:rFonts w:hint="eastAsia"/>
          <w:highlight w:val="none"/>
          <w:lang w:eastAsia="zh-CN"/>
        </w:rPr>
        <w:t>比选响应人</w:t>
      </w:r>
      <w:r>
        <w:rPr>
          <w:rFonts w:hint="eastAsia"/>
          <w:highlight w:val="none"/>
        </w:rPr>
        <w:t>自理。</w:t>
      </w:r>
    </w:p>
    <w:p>
      <w:pPr>
        <w:autoSpaceDE w:val="0"/>
        <w:autoSpaceDN w:val="0"/>
        <w:adjustRightInd w:val="0"/>
        <w:spacing w:line="354" w:lineRule="auto"/>
        <w:ind w:right="-9"/>
        <w:jc w:val="left"/>
        <w:rPr>
          <w:rFonts w:cs="Times New Roman" w:asciiTheme="majorEastAsia" w:hAnsiTheme="majorEastAsia" w:eastAsiaTheme="majorEastAsia"/>
          <w:szCs w:val="24"/>
          <w:highlight w:val="none"/>
        </w:rPr>
      </w:pP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比选响应人：             （盖单位公章）</w:t>
      </w: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法定代表人或其委托代理人：</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 xml:space="preserve">      （签字）</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p>
    <w:p>
      <w:pPr>
        <w:autoSpaceDE w:val="0"/>
        <w:autoSpaceDN w:val="0"/>
        <w:adjustRightInd w:val="0"/>
        <w:spacing w:line="354" w:lineRule="auto"/>
        <w:ind w:left="120" w:right="-9" w:firstLine="480" w:firstLineChars="200"/>
        <w:jc w:val="left"/>
        <w:rPr>
          <w:rFonts w:ascii="Arial" w:hAnsi="Arial" w:eastAsia="黑体"/>
          <w:b/>
          <w:bCs/>
          <w:kern w:val="0"/>
          <w:sz w:val="28"/>
          <w:szCs w:val="28"/>
          <w:highlight w:val="none"/>
        </w:rPr>
        <w:sectPr>
          <w:headerReference r:id="rId23" w:type="default"/>
          <w:pgSz w:w="16838" w:h="11906" w:orient="landscape"/>
          <w:pgMar w:top="1800" w:right="1440" w:bottom="1800" w:left="1440" w:header="851" w:footer="992" w:gutter="0"/>
          <w:cols w:space="720" w:num="1"/>
          <w:docGrid w:type="lines" w:linePitch="312" w:charSpace="0"/>
        </w:sectPr>
      </w:pPr>
      <w:r>
        <w:rPr>
          <w:rFonts w:hint="eastAsia" w:cs="Times New Roman" w:asciiTheme="majorEastAsia" w:hAnsiTheme="majorEastAsia" w:eastAsiaTheme="majorEastAsia"/>
          <w:szCs w:val="24"/>
          <w:highlight w:val="none"/>
        </w:rPr>
        <w:t>日期：</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p>
    <w:p>
      <w:pPr>
        <w:spacing w:line="360" w:lineRule="auto"/>
        <w:jc w:val="center"/>
        <w:rPr>
          <w:rFonts w:ascii="Arial" w:hAnsi="Arial" w:eastAsia="黑体"/>
          <w:b/>
          <w:bCs/>
          <w:kern w:val="0"/>
          <w:sz w:val="28"/>
          <w:szCs w:val="28"/>
          <w:highlight w:val="none"/>
        </w:rPr>
      </w:pPr>
      <w:r>
        <w:rPr>
          <w:rFonts w:hint="eastAsia" w:ascii="Arial" w:hAnsi="Arial" w:eastAsia="黑体"/>
          <w:b/>
          <w:bCs/>
          <w:kern w:val="0"/>
          <w:sz w:val="28"/>
          <w:szCs w:val="28"/>
          <w:highlight w:val="none"/>
        </w:rPr>
        <w:t>（二）法定代表人身份证明</w:t>
      </w:r>
      <w:bookmarkEnd w:id="334"/>
      <w:bookmarkEnd w:id="335"/>
    </w:p>
    <w:p>
      <w:pPr>
        <w:rPr>
          <w:rFonts w:ascii="宋体" w:hAnsi="宋体"/>
          <w:szCs w:val="21"/>
          <w:highlight w:val="none"/>
        </w:rPr>
      </w:pPr>
    </w:p>
    <w:p>
      <w:pPr>
        <w:jc w:val="center"/>
        <w:rPr>
          <w:b/>
          <w:sz w:val="28"/>
          <w:szCs w:val="28"/>
          <w:highlight w:val="none"/>
        </w:rPr>
      </w:pPr>
      <w:r>
        <w:rPr>
          <w:rFonts w:hint="eastAsia"/>
          <w:b/>
          <w:sz w:val="28"/>
          <w:szCs w:val="28"/>
          <w:highlight w:val="none"/>
        </w:rPr>
        <w:t>法定代表人身份证明</w:t>
      </w:r>
    </w:p>
    <w:p>
      <w:pPr>
        <w:jc w:val="center"/>
        <w:rPr>
          <w:b/>
          <w:sz w:val="28"/>
          <w:szCs w:val="28"/>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eastAsia="仿宋"/>
          <w:kern w:val="0"/>
          <w:sz w:val="28"/>
          <w:szCs w:val="28"/>
          <w:highlight w:val="none"/>
        </w:rPr>
        <w:t>比选响应人</w:t>
      </w:r>
      <w:r>
        <w:rPr>
          <w:rFonts w:hint="eastAsia" w:ascii="仿宋" w:hAnsi="仿宋" w:eastAsia="仿宋"/>
          <w:kern w:val="0"/>
          <w:sz w:val="28"/>
          <w:szCs w:val="28"/>
          <w:highlight w:val="none"/>
        </w:rPr>
        <w:t>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w:t>
      </w:r>
      <w:r>
        <w:rPr>
          <w:rFonts w:hint="eastAsia" w:eastAsia="仿宋"/>
          <w:kern w:val="0"/>
          <w:sz w:val="28"/>
          <w:szCs w:val="28"/>
          <w:highlight w:val="none"/>
        </w:rPr>
        <w:t>比选响应人</w:t>
      </w:r>
      <w:r>
        <w:rPr>
          <w:rFonts w:hint="eastAsia" w:ascii="仿宋" w:hAnsi="仿宋" w:eastAsia="仿宋"/>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336" w:firstLineChars="1200"/>
        <w:jc w:val="left"/>
        <w:rPr>
          <w:rFonts w:ascii="仿宋" w:hAnsi="仿宋" w:eastAsia="仿宋"/>
          <w:kern w:val="0"/>
          <w:sz w:val="28"/>
          <w:szCs w:val="28"/>
          <w:highlight w:val="none"/>
        </w:rPr>
      </w:pPr>
      <w:r>
        <w:rPr>
          <w:rFonts w:hint="eastAsia" w:eastAsia="仿宋"/>
          <w:spacing w:val="-1"/>
          <w:kern w:val="0"/>
          <w:sz w:val="28"/>
          <w:szCs w:val="28"/>
          <w:highlight w:val="none"/>
        </w:rPr>
        <w:t>比选响应人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highlight w:val="none"/>
        </w:rPr>
      </w:pPr>
      <w:r>
        <w:rPr>
          <w:rFonts w:hint="eastAsia" w:ascii="仿宋" w:hAnsi="仿宋" w:eastAsia="仿宋"/>
          <w:b/>
          <w:bCs/>
          <w:kern w:val="0"/>
          <w:sz w:val="28"/>
          <w:szCs w:val="28"/>
          <w:highlight w:val="none"/>
        </w:rPr>
        <w:t>附法定代表人身份证复印件</w:t>
      </w:r>
      <w:bookmarkStart w:id="336" w:name="_Toc325034251"/>
      <w:bookmarkStart w:id="337" w:name="_Toc459888264"/>
      <w:bookmarkStart w:id="338" w:name="_Toc265616338"/>
    </w:p>
    <w:p>
      <w:pPr>
        <w:numPr>
          <w:ilvl w:val="0"/>
          <w:numId w:val="5"/>
        </w:numP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经合法授权，特代表本公司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为正式的合法代理人，并授权该代理人在项目的</w:t>
      </w:r>
      <w:r>
        <w:rPr>
          <w:rFonts w:hint="eastAsia" w:eastAsia="仿宋"/>
          <w:sz w:val="28"/>
          <w:szCs w:val="28"/>
          <w:highlight w:val="none"/>
        </w:rPr>
        <w:t>招投标</w:t>
      </w:r>
      <w:r>
        <w:rPr>
          <w:rFonts w:hint="eastAsia" w:ascii="仿宋" w:hAnsi="仿宋" w:eastAsia="仿宋"/>
          <w:sz w:val="28"/>
          <w:szCs w:val="28"/>
          <w:highlight w:val="none"/>
        </w:rPr>
        <w:t>活动中，以我单位的名义签署</w:t>
      </w:r>
      <w:r>
        <w:rPr>
          <w:rFonts w:hint="eastAsia" w:eastAsia="仿宋"/>
          <w:sz w:val="28"/>
          <w:szCs w:val="28"/>
          <w:highlight w:val="none"/>
        </w:rPr>
        <w:t>比选响应文件</w:t>
      </w:r>
      <w:r>
        <w:rPr>
          <w:rFonts w:hint="eastAsia" w:ascii="仿宋" w:hAnsi="仿宋" w:eastAsia="仿宋"/>
          <w:sz w:val="28"/>
          <w:szCs w:val="28"/>
          <w:highlight w:val="none"/>
        </w:rPr>
        <w:t>，与业主协商、签定合同协议书以及执行一切与此有关的事务。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eastAsia="仿宋"/>
          <w:sz w:val="28"/>
          <w:szCs w:val="28"/>
          <w:highlight w:val="none"/>
          <w:lang w:eastAsia="zh-CN"/>
        </w:rPr>
        <w:t>比选响应</w:t>
      </w:r>
      <w:r>
        <w:rPr>
          <w:rFonts w:hint="eastAsia" w:eastAsia="仿宋"/>
          <w:sz w:val="28"/>
          <w:szCs w:val="28"/>
          <w:highlight w:val="none"/>
        </w:rPr>
        <w:t>单位</w:t>
      </w:r>
      <w:r>
        <w:rPr>
          <w:rFonts w:hint="eastAsia" w:ascii="仿宋" w:hAnsi="仿宋" w:eastAsia="仿宋"/>
          <w:sz w:val="28"/>
          <w:szCs w:val="28"/>
          <w:highlight w:val="none"/>
        </w:rPr>
        <w:t>：</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ascii="仿宋" w:hAnsi="仿宋" w:eastAsia="仿宋"/>
          <w:b/>
          <w:bCs/>
          <w:sz w:val="28"/>
          <w:szCs w:val="28"/>
          <w:highlight w:val="none"/>
        </w:rPr>
        <w:sectPr>
          <w:type w:val="continuous"/>
          <w:pgSz w:w="11906" w:h="16838"/>
          <w:pgMar w:top="1440" w:right="1800" w:bottom="1440" w:left="1800" w:header="851" w:footer="992" w:gutter="0"/>
          <w:cols w:space="720" w:num="1"/>
          <w:docGrid w:type="lines" w:linePitch="312" w:charSpace="0"/>
        </w:sectPr>
      </w:pPr>
      <w:r>
        <w:rPr>
          <w:rFonts w:hint="eastAsia" w:ascii="仿宋" w:hAnsi="仿宋" w:eastAsia="仿宋"/>
          <w:b/>
          <w:bCs/>
          <w:sz w:val="28"/>
          <w:szCs w:val="28"/>
          <w:highlight w:val="none"/>
        </w:rPr>
        <w:t>附被授权人代理人身份证复印件</w:t>
      </w:r>
    </w:p>
    <w:p>
      <w:pPr>
        <w:jc w:val="center"/>
        <w:rPr>
          <w:rFonts w:ascii="黑体" w:hAnsi="黑体" w:eastAsia="黑体"/>
          <w:sz w:val="28"/>
          <w:szCs w:val="28"/>
          <w:highlight w:val="none"/>
        </w:rPr>
      </w:pPr>
      <w:r>
        <w:rPr>
          <w:rFonts w:hint="eastAsia" w:ascii="黑体" w:hAnsi="黑体" w:eastAsia="黑体"/>
          <w:sz w:val="28"/>
          <w:szCs w:val="28"/>
          <w:highlight w:val="none"/>
        </w:rPr>
        <w:t>（四）</w:t>
      </w:r>
      <w:bookmarkEnd w:id="336"/>
      <w:bookmarkEnd w:id="337"/>
      <w:bookmarkEnd w:id="338"/>
      <w:r>
        <w:rPr>
          <w:rFonts w:hint="eastAsia" w:ascii="黑体" w:hAnsi="黑体" w:eastAsia="黑体"/>
          <w:sz w:val="28"/>
          <w:szCs w:val="28"/>
          <w:highlight w:val="none"/>
        </w:rPr>
        <w:t>投标保证金</w:t>
      </w:r>
    </w:p>
    <w:p>
      <w:pPr>
        <w:spacing w:line="360" w:lineRule="auto"/>
        <w:ind w:firstLine="420"/>
        <w:rPr>
          <w:rFonts w:ascii="宋体" w:hAnsi="宋体"/>
          <w:szCs w:val="21"/>
          <w:highlight w:val="none"/>
        </w:rPr>
      </w:pPr>
    </w:p>
    <w:p>
      <w:pPr>
        <w:spacing w:line="360" w:lineRule="auto"/>
        <w:ind w:firstLine="480"/>
        <w:rPr>
          <w:rFonts w:ascii="宋体" w:hAnsi="宋体"/>
          <w:highlight w:val="none"/>
        </w:rPr>
      </w:pPr>
      <w:r>
        <w:rPr>
          <w:rFonts w:hint="eastAsia" w:ascii="宋体" w:hAnsi="宋体"/>
          <w:highlight w:val="none"/>
        </w:rPr>
        <w:t>比选响应人按比选文件规定时间提交的投标保证金，应在此提供投标保证金收据的复印件，同时附上比选响应人基本账户开户许可证的复印件。</w:t>
      </w:r>
    </w:p>
    <w:p>
      <w:pPr>
        <w:spacing w:line="360" w:lineRule="auto"/>
        <w:ind w:firstLine="440"/>
        <w:rPr>
          <w:rFonts w:ascii="宋体" w:hAnsi="宋体"/>
          <w:sz w:val="22"/>
          <w:highlight w:val="none"/>
        </w:rPr>
      </w:pPr>
    </w:p>
    <w:p>
      <w:pPr>
        <w:spacing w:line="360" w:lineRule="auto"/>
        <w:ind w:firstLine="420"/>
        <w:rPr>
          <w:rFonts w:ascii="宋体" w:hAnsi="宋体"/>
          <w:szCs w:val="21"/>
          <w:highlight w:val="none"/>
        </w:rPr>
      </w:pPr>
      <w:r>
        <w:rPr>
          <w:rFonts w:ascii="宋体" w:hAnsi="宋体"/>
          <w:szCs w:val="21"/>
          <w:highlight w:val="none"/>
        </w:rPr>
        <w:pict>
          <v:rect id="Rectangle 8" o:spid="_x0000_s1027" o:spt="1" style="position:absolute;left:0pt;margin-left:11.35pt;margin-top:23.3pt;height:161pt;width:459pt;z-index:251659264;mso-width-relative:page;mso-height-relative:page;" coordsize="21600,21600">
            <v:path/>
            <v:fill focussize="0,0"/>
            <v:stroke weight="1pt"/>
            <v:imagedata o:title=""/>
            <o:lock v:ext="edit"/>
            <v:textbox>
              <w:txbxContent>
                <w:p>
                  <w:pPr>
                    <w:spacing w:line="360" w:lineRule="auto"/>
                    <w:ind w:firstLine="480"/>
                    <w:jc w:val="center"/>
                    <w:rPr>
                      <w:rFonts w:ascii="宋体" w:hAnsi="宋体"/>
                    </w:rPr>
                  </w:pPr>
                  <w:r>
                    <w:rPr>
                      <w:rFonts w:hint="eastAsia" w:ascii="宋体" w:hAnsi="宋体"/>
                    </w:rPr>
                    <w:t>此处粘贴投标保证金转账回单的复印件</w:t>
                  </w:r>
                </w:p>
                <w:p>
                  <w:pPr>
                    <w:ind w:firstLine="420"/>
                  </w:pPr>
                </w:p>
              </w:txbxContent>
            </v:textbox>
          </v:rect>
        </w:pict>
      </w: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rPr>
          <w:rFonts w:ascii="宋体" w:hAnsi="宋体"/>
          <w:szCs w:val="21"/>
          <w:highlight w:val="none"/>
        </w:rPr>
      </w:pPr>
      <w:r>
        <w:rPr>
          <w:rFonts w:ascii="宋体" w:hAnsi="宋体"/>
          <w:szCs w:val="21"/>
          <w:highlight w:val="none"/>
        </w:rPr>
        <w:pict>
          <v:rect id="Rectangle 9" o:spid="_x0000_s1028" o:spt="1" style="position:absolute;left:0pt;margin-left:9pt;margin-top:7.8pt;height:234pt;width:459pt;z-index:251660288;mso-width-relative:page;mso-height-relative:page;" coordsize="21600,21600">
            <v:path/>
            <v:fill focussize="0,0"/>
            <v:stroke weight="1pt"/>
            <v:imagedata o:title=""/>
            <o:lock v:ext="edit"/>
            <v:textbox>
              <w:txbxContent>
                <w:p>
                  <w:pPr>
                    <w:spacing w:line="360" w:lineRule="auto"/>
                    <w:ind w:firstLine="480"/>
                    <w:jc w:val="center"/>
                    <w:rPr>
                      <w:rFonts w:ascii="宋体" w:hAnsi="宋体"/>
                    </w:rPr>
                  </w:pPr>
                  <w:r>
                    <w:rPr>
                      <w:rFonts w:hint="eastAsia" w:ascii="宋体" w:hAnsi="宋体"/>
                    </w:rPr>
                    <w:t>此处粘贴比选响应人基本帐户开户许可证的复印件</w:t>
                  </w:r>
                </w:p>
                <w:p>
                  <w:pPr>
                    <w:spacing w:line="360" w:lineRule="auto"/>
                    <w:ind w:firstLine="420"/>
                    <w:jc w:val="center"/>
                    <w:rPr>
                      <w:rFonts w:ascii="宋体" w:hAnsi="宋体"/>
                      <w:szCs w:val="21"/>
                    </w:rPr>
                  </w:pPr>
                </w:p>
              </w:txbxContent>
            </v:textbox>
          </v:rect>
        </w:pict>
      </w:r>
    </w:p>
    <w:p>
      <w:pPr>
        <w:ind w:firstLine="420"/>
        <w:rPr>
          <w:rFonts w:ascii="宋体" w:hAnsi="宋体"/>
          <w:szCs w:val="21"/>
          <w:highlight w:val="none"/>
        </w:rPr>
      </w:pPr>
    </w:p>
    <w:p>
      <w:pPr>
        <w:ind w:firstLine="420"/>
        <w:rPr>
          <w:rFonts w:ascii="宋体" w:hAnsi="宋体"/>
          <w:szCs w:val="21"/>
          <w:highlight w:val="none"/>
        </w:rPr>
        <w:sectPr>
          <w:pgSz w:w="11906" w:h="16838"/>
          <w:pgMar w:top="1440" w:right="1644" w:bottom="1440" w:left="1644" w:header="851" w:footer="794" w:gutter="0"/>
          <w:cols w:space="720" w:num="1"/>
          <w:titlePg/>
          <w:docGrid w:linePitch="312" w:charSpace="0"/>
        </w:sectPr>
      </w:pPr>
    </w:p>
    <w:p>
      <w:pPr>
        <w:rPr>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u w:val="single"/>
        </w:rPr>
        <w:t>（项目名称）</w:t>
      </w: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 价 文 件</w:t>
      </w:r>
    </w:p>
    <w:p>
      <w:pPr>
        <w:spacing w:line="360" w:lineRule="auto"/>
        <w:ind w:firstLine="420"/>
        <w:rPr>
          <w:rFonts w:ascii="宋体" w:hAnsi="宋体"/>
          <w:szCs w:val="21"/>
          <w:highlight w:val="none"/>
        </w:rPr>
      </w:pPr>
    </w:p>
    <w:p>
      <w:pPr>
        <w:pStyle w:val="4"/>
        <w:ind w:firstLine="0" w:firstLineChars="0"/>
        <w:jc w:val="center"/>
        <w:rPr>
          <w:rFonts w:ascii="宋体" w:hAnsi="宋体"/>
          <w:color w:val="auto"/>
          <w:highlight w:val="none"/>
        </w:rPr>
      </w:pPr>
      <w:bookmarkStart w:id="339" w:name="_Toc459888265"/>
      <w:bookmarkStart w:id="340" w:name="_Toc14572"/>
      <w:bookmarkStart w:id="341" w:name="_Toc16401"/>
      <w:bookmarkStart w:id="342" w:name="_Toc30709"/>
      <w:bookmarkStart w:id="343" w:name="_Toc5532"/>
      <w:r>
        <w:rPr>
          <w:rFonts w:hint="eastAsia" w:ascii="宋体" w:hAnsi="宋体"/>
          <w:color w:val="auto"/>
          <w:highlight w:val="none"/>
        </w:rPr>
        <w:t>（资格审查部分）</w:t>
      </w:r>
      <w:bookmarkEnd w:id="339"/>
      <w:bookmarkEnd w:id="340"/>
      <w:bookmarkEnd w:id="341"/>
      <w:bookmarkEnd w:id="342"/>
      <w:bookmarkEnd w:id="343"/>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jc w:val="center"/>
        <w:rPr>
          <w:rFonts w:ascii="宋体" w:hAnsi="宋体"/>
          <w:szCs w:val="21"/>
          <w:highlight w:val="none"/>
        </w:rPr>
      </w:pPr>
    </w:p>
    <w:p>
      <w:pPr>
        <w:spacing w:line="360" w:lineRule="auto"/>
        <w:ind w:firstLine="420"/>
        <w:jc w:val="center"/>
        <w:rPr>
          <w:rFonts w:ascii="宋体" w:hAnsi="宋体"/>
          <w:szCs w:val="21"/>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比选响应人：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jc w:val="center"/>
        <w:rPr>
          <w:rFonts w:ascii="宋体" w:hAnsi="宋体"/>
          <w:sz w:val="28"/>
          <w:szCs w:val="28"/>
          <w:highlight w:val="none"/>
        </w:rPr>
      </w:pPr>
    </w:p>
    <w:p>
      <w:pPr>
        <w:spacing w:line="360" w:lineRule="auto"/>
        <w:ind w:firstLine="840" w:firstLineChars="300"/>
        <w:jc w:val="both"/>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420"/>
        <w:jc w:val="center"/>
        <w:rPr>
          <w:rFonts w:ascii="宋体" w:hAnsi="宋体"/>
          <w:szCs w:val="21"/>
          <w:highlight w:val="none"/>
          <w:u w:val="single"/>
        </w:rPr>
      </w:pPr>
    </w:p>
    <w:p>
      <w:pPr>
        <w:jc w:val="center"/>
        <w:rPr>
          <w:rFonts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bookmarkStart w:id="344" w:name="_Toc459888266"/>
      <w:bookmarkStart w:id="345" w:name="_Toc325034253"/>
    </w:p>
    <w:p>
      <w:pPr>
        <w:ind w:firstLine="560"/>
        <w:jc w:val="center"/>
        <w:rPr>
          <w:rFonts w:ascii="黑体" w:hAnsi="黑体" w:eastAsia="黑体"/>
          <w:sz w:val="28"/>
          <w:szCs w:val="28"/>
          <w:highlight w:val="none"/>
        </w:rPr>
      </w:pPr>
      <w:r>
        <w:rPr>
          <w:rFonts w:hint="eastAsia" w:ascii="黑体" w:hAnsi="黑体" w:eastAsia="黑体"/>
          <w:sz w:val="28"/>
          <w:szCs w:val="28"/>
          <w:highlight w:val="none"/>
        </w:rPr>
        <w:t>目  录</w:t>
      </w:r>
      <w:bookmarkEnd w:id="344"/>
      <w:bookmarkEnd w:id="345"/>
    </w:p>
    <w:p>
      <w:pPr>
        <w:autoSpaceDE w:val="0"/>
        <w:autoSpaceDN w:val="0"/>
        <w:adjustRightInd w:val="0"/>
        <w:spacing w:line="360" w:lineRule="auto"/>
        <w:ind w:right="-20" w:firstLine="120" w:firstLineChars="50"/>
        <w:jc w:val="left"/>
        <w:rPr>
          <w:rFonts w:ascii="宋体" w:hAnsi="宋体" w:eastAsia="仿宋_GB2312" w:cs="MingLiU"/>
          <w:kern w:val="0"/>
          <w:highlight w:val="none"/>
        </w:rPr>
      </w:pPr>
      <w:r>
        <w:rPr>
          <w:rFonts w:hint="eastAsia" w:ascii="宋体" w:hAnsi="宋体"/>
          <w:highlight w:val="none"/>
        </w:rPr>
        <w:t xml:space="preserve">  </w:t>
      </w:r>
      <w:r>
        <w:rPr>
          <w:rFonts w:hint="eastAsia" w:ascii="宋体" w:hAnsi="宋体" w:cs="MingLiU"/>
          <w:kern w:val="0"/>
          <w:highlight w:val="none"/>
        </w:rPr>
        <w:t>（一）详见比选文件资格要求</w:t>
      </w:r>
    </w:p>
    <w:p>
      <w:pPr>
        <w:autoSpaceDE w:val="0"/>
        <w:autoSpaceDN w:val="0"/>
        <w:adjustRightInd w:val="0"/>
        <w:spacing w:line="360" w:lineRule="auto"/>
        <w:ind w:firstLine="360" w:firstLineChars="150"/>
        <w:jc w:val="left"/>
        <w:rPr>
          <w:rFonts w:ascii="宋体" w:hAnsi="宋体" w:cs="MingLiU"/>
          <w:kern w:val="0"/>
          <w:highlight w:val="none"/>
        </w:rPr>
      </w:pPr>
      <w:r>
        <w:rPr>
          <w:rFonts w:hint="eastAsia" w:ascii="宋体" w:hAnsi="宋体" w:cs="MingLiU"/>
          <w:kern w:val="0"/>
          <w:highlight w:val="none"/>
        </w:rPr>
        <w:t>（二）详见比选文件资格要求</w:t>
      </w:r>
    </w:p>
    <w:p>
      <w:pPr>
        <w:autoSpaceDE w:val="0"/>
        <w:autoSpaceDN w:val="0"/>
        <w:adjustRightInd w:val="0"/>
        <w:spacing w:line="360" w:lineRule="auto"/>
        <w:ind w:firstLine="360" w:firstLineChars="150"/>
        <w:jc w:val="left"/>
        <w:rPr>
          <w:rFonts w:ascii="宋体" w:hAnsi="宋体" w:cs="MingLiU"/>
          <w:kern w:val="0"/>
          <w:highlight w:val="none"/>
        </w:rPr>
      </w:pPr>
      <w:r>
        <w:rPr>
          <w:rFonts w:hint="eastAsia" w:ascii="宋体" w:hAnsi="宋体" w:cs="MingLiU"/>
          <w:kern w:val="0"/>
          <w:highlight w:val="none"/>
        </w:rPr>
        <w:t>（三）比选响应人基本情况表</w:t>
      </w:r>
    </w:p>
    <w:p>
      <w:pPr>
        <w:jc w:val="center"/>
        <w:rPr>
          <w:rFonts w:ascii="黑体" w:hAnsi="黑体" w:eastAsia="黑体"/>
          <w:b/>
          <w:sz w:val="28"/>
          <w:szCs w:val="28"/>
          <w:highlight w:val="none"/>
        </w:rPr>
      </w:pPr>
      <w:bookmarkStart w:id="346" w:name="_Toc459888267"/>
      <w:r>
        <w:rPr>
          <w:highlight w:val="none"/>
        </w:rPr>
        <w:br w:type="page"/>
      </w:r>
      <w:r>
        <w:rPr>
          <w:rFonts w:hint="eastAsia" w:ascii="黑体" w:hAnsi="黑体" w:eastAsia="黑体"/>
          <w:b/>
          <w:sz w:val="28"/>
          <w:szCs w:val="28"/>
          <w:highlight w:val="none"/>
        </w:rPr>
        <w:t>（一）</w:t>
      </w:r>
      <w:bookmarkEnd w:id="346"/>
      <w:r>
        <w:rPr>
          <w:rFonts w:hint="eastAsia" w:ascii="黑体" w:hAnsi="黑体" w:eastAsia="黑体"/>
          <w:b/>
          <w:sz w:val="28"/>
          <w:szCs w:val="28"/>
          <w:highlight w:val="none"/>
        </w:rPr>
        <w:t>详见比选文件资格要求，比选响应人作相应响应</w:t>
      </w: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643"/>
        <w:rPr>
          <w:highlight w:val="none"/>
        </w:rPr>
      </w:pPr>
    </w:p>
    <w:p>
      <w:pPr>
        <w:ind w:left="765" w:firstLine="480"/>
        <w:rPr>
          <w:rFonts w:ascii="宋体" w:hAnsi="宋体"/>
          <w:highlight w:val="none"/>
        </w:rPr>
      </w:pPr>
    </w:p>
    <w:p>
      <w:pPr>
        <w:numPr>
          <w:ilvl w:val="0"/>
          <w:numId w:val="6"/>
        </w:numPr>
        <w:jc w:val="center"/>
        <w:rPr>
          <w:rFonts w:ascii="黑体" w:hAnsi="黑体" w:eastAsia="黑体"/>
          <w:b/>
          <w:sz w:val="28"/>
          <w:szCs w:val="28"/>
          <w:highlight w:val="none"/>
        </w:rPr>
      </w:pPr>
      <w:bookmarkStart w:id="347" w:name="_Toc459888270"/>
      <w:r>
        <w:rPr>
          <w:rFonts w:hint="eastAsia" w:ascii="黑体" w:hAnsi="黑体" w:eastAsia="黑体"/>
          <w:b/>
          <w:sz w:val="28"/>
          <w:szCs w:val="28"/>
          <w:highlight w:val="none"/>
        </w:rPr>
        <w:t>详见比选文件资格要求，比选响应人作相应响应</w:t>
      </w:r>
    </w:p>
    <w:p>
      <w:pPr>
        <w:pStyle w:val="25"/>
        <w:ind w:firstLine="0" w:firstLineChars="0"/>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spacing w:line="360" w:lineRule="auto"/>
        <w:ind w:firstLine="480"/>
        <w:rPr>
          <w:rFonts w:ascii="宋体" w:hAnsi="宋体"/>
          <w:highlight w:val="none"/>
        </w:rPr>
      </w:pPr>
    </w:p>
    <w:p>
      <w:pPr>
        <w:jc w:val="center"/>
        <w:rPr>
          <w:rFonts w:ascii="黑体" w:hAnsi="黑体" w:eastAsia="黑体"/>
          <w:b/>
          <w:sz w:val="28"/>
          <w:szCs w:val="28"/>
          <w:highlight w:val="none"/>
        </w:rPr>
      </w:pPr>
      <w:r>
        <w:rPr>
          <w:rFonts w:hint="eastAsia" w:ascii="黑体" w:hAnsi="黑体" w:eastAsia="黑体"/>
          <w:b/>
          <w:sz w:val="28"/>
          <w:szCs w:val="28"/>
          <w:highlight w:val="none"/>
        </w:rPr>
        <w:t>（三）比选响应人基本情况表</w:t>
      </w:r>
      <w:bookmarkEnd w:id="347"/>
    </w:p>
    <w:p>
      <w:pPr>
        <w:jc w:val="center"/>
        <w:rPr>
          <w:rFonts w:ascii="黑体" w:hAnsi="黑体" w:eastAsia="黑体"/>
          <w:b/>
          <w:sz w:val="28"/>
          <w:szCs w:val="28"/>
          <w:highlight w:val="none"/>
        </w:rPr>
      </w:pPr>
    </w:p>
    <w:tbl>
      <w:tblPr>
        <w:tblStyle w:val="2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pPr>
              <w:jc w:val="center"/>
              <w:rPr>
                <w:rFonts w:ascii="宋体" w:hAnsi="宋体"/>
                <w:highlight w:val="none"/>
              </w:rPr>
            </w:pPr>
            <w:r>
              <w:rPr>
                <w:rFonts w:hint="eastAsia" w:ascii="宋体" w:hAnsi="宋体"/>
                <w:highlight w:val="none"/>
              </w:rPr>
              <w:t>比选响应人名称</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jc w:val="center"/>
              <w:rPr>
                <w:rFonts w:ascii="宋体" w:hAnsi="宋体"/>
                <w:highlight w:val="none"/>
              </w:rPr>
            </w:pPr>
            <w:r>
              <w:rPr>
                <w:rFonts w:hint="eastAsia" w:ascii="宋体" w:hAnsi="宋体"/>
                <w:highlight w:val="none"/>
              </w:rPr>
              <w:t>注册地址</w:t>
            </w:r>
          </w:p>
        </w:tc>
        <w:tc>
          <w:tcPr>
            <w:tcW w:w="4132" w:type="dxa"/>
            <w:gridSpan w:val="3"/>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邮政编码</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jc w:val="center"/>
              <w:rPr>
                <w:rFonts w:ascii="宋体" w:hAnsi="宋体"/>
                <w:highlight w:val="none"/>
              </w:rPr>
            </w:pPr>
            <w:r>
              <w:rPr>
                <w:rFonts w:hint="eastAsia" w:ascii="宋体" w:hAnsi="宋体"/>
                <w:highlight w:val="none"/>
              </w:rPr>
              <w:t>联系方式</w:t>
            </w:r>
          </w:p>
        </w:tc>
        <w:tc>
          <w:tcPr>
            <w:tcW w:w="1077" w:type="dxa"/>
            <w:vAlign w:val="center"/>
          </w:tcPr>
          <w:p>
            <w:pPr>
              <w:jc w:val="center"/>
              <w:rPr>
                <w:rFonts w:ascii="宋体" w:hAnsi="宋体"/>
                <w:highlight w:val="none"/>
              </w:rPr>
            </w:pPr>
            <w:r>
              <w:rPr>
                <w:rFonts w:hint="eastAsia" w:ascii="宋体" w:hAnsi="宋体"/>
                <w:highlight w:val="none"/>
              </w:rPr>
              <w:t>联系人</w:t>
            </w:r>
          </w:p>
        </w:tc>
        <w:tc>
          <w:tcPr>
            <w:tcW w:w="3055" w:type="dxa"/>
            <w:gridSpan w:val="2"/>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电话</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jc w:val="center"/>
              <w:rPr>
                <w:rFonts w:ascii="宋体" w:hAnsi="宋体"/>
                <w:highlight w:val="none"/>
              </w:rPr>
            </w:pPr>
          </w:p>
        </w:tc>
        <w:tc>
          <w:tcPr>
            <w:tcW w:w="1077" w:type="dxa"/>
            <w:vAlign w:val="center"/>
          </w:tcPr>
          <w:p>
            <w:pPr>
              <w:jc w:val="center"/>
              <w:rPr>
                <w:rFonts w:ascii="宋体" w:hAnsi="宋体"/>
                <w:highlight w:val="none"/>
              </w:rPr>
            </w:pPr>
            <w:r>
              <w:rPr>
                <w:rFonts w:hint="eastAsia" w:ascii="宋体" w:hAnsi="宋体"/>
                <w:highlight w:val="none"/>
              </w:rPr>
              <w:t>传真</w:t>
            </w:r>
          </w:p>
        </w:tc>
        <w:tc>
          <w:tcPr>
            <w:tcW w:w="3055" w:type="dxa"/>
            <w:gridSpan w:val="2"/>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网址</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组织结构</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jc w:val="center"/>
              <w:rPr>
                <w:rFonts w:ascii="宋体" w:hAnsi="宋体"/>
                <w:highlight w:val="none"/>
              </w:rPr>
            </w:pPr>
            <w:r>
              <w:rPr>
                <w:rFonts w:hint="eastAsia" w:ascii="宋体" w:hAnsi="宋体"/>
                <w:highlight w:val="none"/>
              </w:rPr>
              <w:t>法定代表人</w:t>
            </w:r>
          </w:p>
        </w:tc>
        <w:tc>
          <w:tcPr>
            <w:tcW w:w="1077" w:type="dxa"/>
            <w:vAlign w:val="center"/>
          </w:tcPr>
          <w:p>
            <w:pPr>
              <w:jc w:val="center"/>
              <w:rPr>
                <w:rFonts w:ascii="宋体" w:hAnsi="宋体"/>
                <w:highlight w:val="none"/>
              </w:rPr>
            </w:pPr>
            <w:r>
              <w:rPr>
                <w:rFonts w:hint="eastAsia" w:ascii="宋体" w:hAnsi="宋体"/>
                <w:highlight w:val="none"/>
              </w:rPr>
              <w:t>姓名</w:t>
            </w:r>
          </w:p>
        </w:tc>
        <w:tc>
          <w:tcPr>
            <w:tcW w:w="1803" w:type="dxa"/>
            <w:vAlign w:val="center"/>
          </w:tcPr>
          <w:p>
            <w:pPr>
              <w:jc w:val="center"/>
              <w:rPr>
                <w:rFonts w:ascii="宋体" w:hAnsi="宋体"/>
                <w:highlight w:val="none"/>
              </w:rPr>
            </w:pPr>
          </w:p>
        </w:tc>
        <w:tc>
          <w:tcPr>
            <w:tcW w:w="1252" w:type="dxa"/>
            <w:vAlign w:val="center"/>
          </w:tcPr>
          <w:p>
            <w:pPr>
              <w:jc w:val="center"/>
              <w:rPr>
                <w:rFonts w:ascii="宋体" w:hAnsi="宋体"/>
                <w:highlight w:val="none"/>
              </w:rPr>
            </w:pPr>
            <w:r>
              <w:rPr>
                <w:rFonts w:hint="eastAsia" w:ascii="宋体" w:hAnsi="宋体"/>
                <w:highlight w:val="none"/>
              </w:rPr>
              <w:t>技术职称</w:t>
            </w:r>
          </w:p>
        </w:tc>
        <w:tc>
          <w:tcPr>
            <w:tcW w:w="1265" w:type="dxa"/>
            <w:gridSpan w:val="2"/>
            <w:vAlign w:val="center"/>
          </w:tcPr>
          <w:p>
            <w:pPr>
              <w:jc w:val="center"/>
              <w:rPr>
                <w:rFonts w:ascii="宋体" w:hAnsi="宋体"/>
                <w:highlight w:val="none"/>
              </w:rPr>
            </w:pPr>
          </w:p>
        </w:tc>
        <w:tc>
          <w:tcPr>
            <w:tcW w:w="723" w:type="dxa"/>
            <w:vAlign w:val="center"/>
          </w:tcPr>
          <w:p>
            <w:pPr>
              <w:jc w:val="center"/>
              <w:rPr>
                <w:rFonts w:ascii="宋体" w:hAnsi="宋体"/>
                <w:highlight w:val="none"/>
              </w:rPr>
            </w:pPr>
            <w:r>
              <w:rPr>
                <w:rFonts w:hint="eastAsia" w:ascii="宋体" w:hAnsi="宋体"/>
                <w:highlight w:val="none"/>
              </w:rPr>
              <w:t>电话</w:t>
            </w:r>
          </w:p>
        </w:tc>
        <w:tc>
          <w:tcPr>
            <w:tcW w:w="1430"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jc w:val="center"/>
              <w:rPr>
                <w:rFonts w:ascii="宋体" w:hAnsi="宋体"/>
                <w:highlight w:val="none"/>
              </w:rPr>
            </w:pPr>
            <w:r>
              <w:rPr>
                <w:rFonts w:hint="eastAsia" w:ascii="宋体" w:hAnsi="宋体"/>
                <w:highlight w:val="none"/>
              </w:rPr>
              <w:t>项目负责人</w:t>
            </w:r>
          </w:p>
        </w:tc>
        <w:tc>
          <w:tcPr>
            <w:tcW w:w="1077" w:type="dxa"/>
            <w:vAlign w:val="center"/>
          </w:tcPr>
          <w:p>
            <w:pPr>
              <w:jc w:val="center"/>
              <w:rPr>
                <w:rFonts w:ascii="宋体" w:hAnsi="宋体"/>
                <w:highlight w:val="none"/>
              </w:rPr>
            </w:pPr>
            <w:r>
              <w:rPr>
                <w:rFonts w:hint="eastAsia" w:ascii="宋体" w:hAnsi="宋体"/>
                <w:highlight w:val="none"/>
              </w:rPr>
              <w:t>姓名</w:t>
            </w:r>
          </w:p>
        </w:tc>
        <w:tc>
          <w:tcPr>
            <w:tcW w:w="1803" w:type="dxa"/>
            <w:vAlign w:val="center"/>
          </w:tcPr>
          <w:p>
            <w:pPr>
              <w:jc w:val="center"/>
              <w:rPr>
                <w:rFonts w:ascii="宋体" w:hAnsi="宋体"/>
                <w:highlight w:val="none"/>
              </w:rPr>
            </w:pPr>
          </w:p>
        </w:tc>
        <w:tc>
          <w:tcPr>
            <w:tcW w:w="1252" w:type="dxa"/>
            <w:vAlign w:val="center"/>
          </w:tcPr>
          <w:p>
            <w:pPr>
              <w:jc w:val="center"/>
              <w:rPr>
                <w:rFonts w:ascii="宋体" w:hAnsi="宋体"/>
                <w:highlight w:val="none"/>
              </w:rPr>
            </w:pPr>
            <w:r>
              <w:rPr>
                <w:rFonts w:hint="eastAsia" w:ascii="宋体" w:hAnsi="宋体"/>
                <w:highlight w:val="none"/>
              </w:rPr>
              <w:t>技术职称</w:t>
            </w:r>
          </w:p>
        </w:tc>
        <w:tc>
          <w:tcPr>
            <w:tcW w:w="1265" w:type="dxa"/>
            <w:gridSpan w:val="2"/>
            <w:vAlign w:val="center"/>
          </w:tcPr>
          <w:p>
            <w:pPr>
              <w:jc w:val="center"/>
              <w:rPr>
                <w:rFonts w:ascii="宋体" w:hAnsi="宋体"/>
                <w:highlight w:val="none"/>
              </w:rPr>
            </w:pPr>
          </w:p>
        </w:tc>
        <w:tc>
          <w:tcPr>
            <w:tcW w:w="723" w:type="dxa"/>
            <w:vAlign w:val="center"/>
          </w:tcPr>
          <w:p>
            <w:pPr>
              <w:jc w:val="center"/>
              <w:rPr>
                <w:rFonts w:ascii="宋体" w:hAnsi="宋体"/>
                <w:highlight w:val="none"/>
              </w:rPr>
            </w:pPr>
            <w:r>
              <w:rPr>
                <w:rFonts w:hint="eastAsia" w:ascii="宋体" w:hAnsi="宋体"/>
                <w:highlight w:val="none"/>
              </w:rPr>
              <w:t>电话</w:t>
            </w:r>
          </w:p>
        </w:tc>
        <w:tc>
          <w:tcPr>
            <w:tcW w:w="1430"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成立时间</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企业资质等级</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jc w:val="center"/>
              <w:rPr>
                <w:rFonts w:ascii="宋体" w:hAnsi="宋体"/>
                <w:highlight w:val="none"/>
              </w:rPr>
            </w:pPr>
            <w:r>
              <w:rPr>
                <w:rFonts w:hint="eastAsia" w:ascii="宋体" w:hAnsi="宋体"/>
                <w:highlight w:val="none"/>
              </w:rPr>
              <w:t>营业执照号</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jc w:val="center"/>
              <w:rPr>
                <w:rFonts w:ascii="宋体" w:hAnsi="宋体"/>
                <w:highlight w:val="none"/>
              </w:rPr>
            </w:pPr>
            <w:r>
              <w:rPr>
                <w:rFonts w:hint="eastAsia" w:ascii="宋体" w:hAnsi="宋体"/>
                <w:highlight w:val="none"/>
              </w:rPr>
              <w:t>注册资金</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jc w:val="center"/>
              <w:rPr>
                <w:rFonts w:ascii="宋体" w:hAnsi="宋体"/>
                <w:highlight w:val="none"/>
              </w:rPr>
            </w:pPr>
            <w:r>
              <w:rPr>
                <w:rFonts w:hint="eastAsia" w:ascii="宋体" w:hAnsi="宋体"/>
                <w:highlight w:val="none"/>
              </w:rPr>
              <w:t>开户银行</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jc w:val="center"/>
              <w:rPr>
                <w:rFonts w:ascii="宋体" w:hAnsi="宋体"/>
                <w:highlight w:val="none"/>
              </w:rPr>
            </w:pPr>
            <w:r>
              <w:rPr>
                <w:rFonts w:hint="eastAsia" w:ascii="宋体" w:hAnsi="宋体"/>
                <w:highlight w:val="none"/>
              </w:rPr>
              <w:t>账号</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vAlign w:val="center"/>
          </w:tcPr>
          <w:p>
            <w:pPr>
              <w:jc w:val="center"/>
              <w:rPr>
                <w:rFonts w:ascii="宋体" w:hAnsi="宋体"/>
                <w:highlight w:val="none"/>
              </w:rPr>
            </w:pPr>
            <w:r>
              <w:rPr>
                <w:rFonts w:hint="eastAsia" w:ascii="宋体" w:hAnsi="宋体"/>
                <w:highlight w:val="none"/>
              </w:rPr>
              <w:t>员工总人数：</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80" w:type="dxa"/>
            <w:vAlign w:val="center"/>
          </w:tcPr>
          <w:p>
            <w:pPr>
              <w:jc w:val="center"/>
              <w:rPr>
                <w:rFonts w:ascii="宋体" w:hAnsi="宋体"/>
                <w:highlight w:val="none"/>
              </w:rPr>
            </w:pPr>
            <w:r>
              <w:rPr>
                <w:rFonts w:hint="eastAsia" w:ascii="宋体" w:hAnsi="宋体"/>
                <w:highlight w:val="none"/>
              </w:rPr>
              <w:t>经营范围</w:t>
            </w:r>
          </w:p>
          <w:p>
            <w:pPr>
              <w:jc w:val="center"/>
              <w:rPr>
                <w:rFonts w:ascii="宋体" w:hAnsi="宋体"/>
                <w:highlight w:val="none"/>
              </w:rPr>
            </w:pPr>
            <w:r>
              <w:rPr>
                <w:rFonts w:hint="eastAsia" w:ascii="宋体" w:hAnsi="宋体"/>
                <w:highlight w:val="none"/>
              </w:rPr>
              <w:t>备注</w:t>
            </w:r>
          </w:p>
        </w:tc>
        <w:tc>
          <w:tcPr>
            <w:tcW w:w="7550" w:type="dxa"/>
            <w:gridSpan w:val="7"/>
            <w:vAlign w:val="center"/>
          </w:tcPr>
          <w:p>
            <w:pPr>
              <w:jc w:val="center"/>
              <w:rPr>
                <w:rFonts w:ascii="宋体" w:hAnsi="宋体"/>
                <w:highlight w:val="none"/>
              </w:rPr>
            </w:pPr>
          </w:p>
        </w:tc>
      </w:tr>
    </w:tbl>
    <w:p>
      <w:pPr>
        <w:spacing w:line="360" w:lineRule="auto"/>
        <w:ind w:left="952" w:leftChars="200" w:hanging="472" w:hangingChars="196"/>
        <w:rPr>
          <w:rFonts w:ascii="宋体" w:hAnsi="宋体"/>
          <w:kern w:val="0"/>
          <w:highlight w:val="none"/>
        </w:rPr>
      </w:pPr>
      <w:r>
        <w:rPr>
          <w:rFonts w:hint="eastAsia" w:ascii="宋体" w:hAnsi="宋体"/>
          <w:b/>
          <w:kern w:val="0"/>
          <w:highlight w:val="none"/>
        </w:rPr>
        <w:t>注：</w:t>
      </w:r>
      <w:r>
        <w:rPr>
          <w:rFonts w:hint="eastAsia" w:ascii="宋体" w:hAnsi="宋体"/>
          <w:kern w:val="0"/>
          <w:highlight w:val="none"/>
        </w:rPr>
        <w:t>应附比选响应人营业</w:t>
      </w:r>
      <w:r>
        <w:rPr>
          <w:rFonts w:hint="eastAsia" w:ascii="宋体" w:hAnsi="宋体"/>
          <w:spacing w:val="1"/>
          <w:kern w:val="0"/>
          <w:highlight w:val="none"/>
        </w:rPr>
        <w:t>执</w:t>
      </w:r>
      <w:r>
        <w:rPr>
          <w:rFonts w:hint="eastAsia" w:ascii="宋体" w:hAnsi="宋体"/>
          <w:kern w:val="0"/>
          <w:highlight w:val="none"/>
        </w:rPr>
        <w:t>照副本及其它合格的证明材料、</w:t>
      </w:r>
      <w:r>
        <w:rPr>
          <w:rFonts w:hint="eastAsia" w:ascii="宋体" w:hAnsi="宋体"/>
          <w:spacing w:val="1"/>
          <w:kern w:val="0"/>
          <w:highlight w:val="none"/>
        </w:rPr>
        <w:t>资</w:t>
      </w:r>
      <w:r>
        <w:rPr>
          <w:rFonts w:hint="eastAsia" w:ascii="宋体" w:hAnsi="宋体"/>
          <w:kern w:val="0"/>
          <w:highlight w:val="none"/>
        </w:rPr>
        <w:t>质等复印件。</w:t>
      </w:r>
      <w:bookmarkStart w:id="348" w:name="_Toc277754226"/>
      <w:bookmarkStart w:id="349" w:name="_Toc459888272"/>
      <w:bookmarkStart w:id="350" w:name="_Toc224103515"/>
      <w:bookmarkStart w:id="351" w:name="_Toc247446650"/>
    </w:p>
    <w:bookmarkEnd w:id="348"/>
    <w:bookmarkEnd w:id="349"/>
    <w:bookmarkEnd w:id="350"/>
    <w:bookmarkEnd w:id="351"/>
    <w:p>
      <w:pPr>
        <w:spacing w:line="360" w:lineRule="auto"/>
        <w:rPr>
          <w:rFonts w:ascii="黑体" w:hAnsi="黑体" w:eastAsia="黑体"/>
          <w:b/>
          <w:sz w:val="28"/>
          <w:szCs w:val="28"/>
          <w:highlight w:val="none"/>
        </w:rPr>
      </w:pPr>
    </w:p>
    <w:sectPr>
      <w:pgSz w:w="11906" w:h="16838"/>
      <w:pgMar w:top="1440" w:right="1644" w:bottom="1440" w:left="1644" w:header="851" w:footer="992" w:gutter="0"/>
      <w:pgBorders>
        <w:bottom w:val="single" w:color="auto" w:sz="4" w:space="1"/>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73"/>
        <w:tab w:val="right" w:pos="9026"/>
      </w:tabs>
      <w:rPr>
        <w:rFonts w:asciiTheme="minorEastAsia" w:hAnsiTheme="minorEastAsia"/>
        <w:caps/>
        <w:sz w:val="21"/>
        <w:szCs w:val="21"/>
      </w:rPr>
    </w:pPr>
    <w:r>
      <w:rPr>
        <w:sz w:val="21"/>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r>
      <w:rPr>
        <w:rFonts w:hint="eastAsia" w:asciiTheme="minorEastAsia" w:hAnsiTheme="minorEastAsia"/>
        <w:caps/>
        <w:sz w:val="21"/>
        <w:szCs w:val="21"/>
      </w:rPr>
      <w:tab/>
    </w:r>
    <w:r>
      <w:rPr>
        <w:rFonts w:hint="eastAsia" w:asciiTheme="minorEastAsia" w:hAnsiTheme="minorEastAsia"/>
        <w:caps/>
        <w:sz w:val="21"/>
        <w:szCs w:val="21"/>
      </w:rPr>
      <w:tab/>
    </w:r>
    <w:r>
      <w:rPr>
        <w:rFonts w:hint="eastAsia" w:asciiTheme="minorEastAsia" w:hAnsiTheme="minorEastAsia"/>
        <w:caps/>
        <w:sz w:val="21"/>
        <w:szCs w:val="21"/>
      </w:rPr>
      <w:t xml:space="preserve">                   </w:t>
    </w:r>
    <w:r>
      <w:rPr>
        <w:rFonts w:hint="eastAsia" w:asciiTheme="minorEastAsia" w:hAnsiTheme="minorEastAsia"/>
        <w:caps/>
        <w:sz w:val="21"/>
        <w:szCs w:val="21"/>
      </w:rPr>
      <w:tab/>
    </w:r>
    <w:r>
      <w:rPr>
        <w:rFonts w:hint="eastAsia" w:asciiTheme="minorEastAsia" w:hAnsiTheme="minorEastAsia"/>
        <w:caps/>
        <w:sz w:val="21"/>
        <w:szCs w:val="21"/>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5420488"/>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sdt>
                    <w:sdtPr>
                      <w:id w:val="-675420488"/>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r>
      <w:rPr>
        <w:sz w:val="21"/>
      </w:rPr>
      <mc:AlternateContent>
        <mc:Choice Requires="wps">
          <w:drawing>
            <wp:anchor distT="0" distB="0" distL="114300" distR="114300" simplePos="0" relativeHeight="251871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1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166034"/>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82166034"/>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rPr>
                              <w:lang w:val="zh-CN"/>
                            </w:rPr>
                            <w:t>50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50</w:t>
                    </w:r>
                    <w:r>
                      <w:rPr>
                        <w:lang w:val="zh-CN"/>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29"/>
      </w:rPr>
    </w:pPr>
    <w:r>
      <w:fldChar w:fldCharType="begin"/>
    </w:r>
    <w:r>
      <w:rPr>
        <w:rStyle w:val="29"/>
      </w:rPr>
      <w:instrText xml:space="preserve">PAGE  </w:instrText>
    </w:r>
    <w:r>
      <w:fldChar w:fldCharType="separate"/>
    </w:r>
    <w:r>
      <w:rPr>
        <w:rStyle w:val="29"/>
      </w:rPr>
      <w:t>- 11 -</w:t>
    </w:r>
    <w:r>
      <w:fldChar w:fldCharType="end"/>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6030354"/>
                          </w:sdtPr>
                          <w:sdtContent>
                            <w:p>
                              <w:pPr>
                                <w:pStyle w:val="17"/>
                                <w:jc w:val="center"/>
                              </w:pPr>
                              <w:r>
                                <w:fldChar w:fldCharType="begin"/>
                              </w:r>
                              <w:r>
                                <w:instrText xml:space="preserve">PAGE   \* MERGEFORMAT</w:instrText>
                              </w:r>
                              <w:r>
                                <w:fldChar w:fldCharType="separate"/>
                              </w:r>
                              <w:r>
                                <w:rPr>
                                  <w:lang w:val="zh-CN"/>
                                </w:rPr>
                                <w:t>35</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id w:val="-386030354"/>
                    </w:sdtPr>
                    <w:sdtContent>
                      <w:p>
                        <w:pPr>
                          <w:pStyle w:val="17"/>
                          <w:jc w:val="center"/>
                        </w:pPr>
                        <w:r>
                          <w:fldChar w:fldCharType="begin"/>
                        </w:r>
                        <w:r>
                          <w:instrText xml:space="preserve">PAGE   \* MERGEFORMAT</w:instrText>
                        </w:r>
                        <w:r>
                          <w:fldChar w:fldCharType="separate"/>
                        </w:r>
                        <w:r>
                          <w:rPr>
                            <w:lang w:val="zh-CN"/>
                          </w:rPr>
                          <w:t>35</w:t>
                        </w:r>
                        <w:r>
                          <w:fldChar w:fldCharType="end"/>
                        </w:r>
                      </w:p>
                    </w:sdtContent>
                  </w:sdt>
                  <w:p>
                    <w:pPr>
                      <w:pStyle w:val="25"/>
                      <w:ind w:firstLine="643"/>
                    </w:pPr>
                  </w:p>
                </w:txbxContent>
              </v:textbox>
            </v:shape>
          </w:pict>
        </mc:Fallback>
      </mc:AlternateContent>
    </w:r>
  </w:p>
  <w:p>
    <w:pPr>
      <w:pStyle w:val="17"/>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5666712"/>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sdt>
                    <w:sdtPr>
                      <w:id w:val="1885666712"/>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_GB2312" w:hAnsi="仿宋" w:eastAsia="楷体_GB2312" w:cs="MingLiU"/>
        <w:kern w:val="0"/>
        <w:sz w:val="21"/>
        <w:u w:val="single"/>
      </w:rPr>
    </w:pPr>
    <w:r>
      <w:rPr>
        <w:rFonts w:hint="eastAsia"/>
      </w:rPr>
      <w:t>重庆江北国际机场T2、T3A航站楼零星植物及花器采购项目比选文件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_GB2312" w:hAnsi="仿宋" w:eastAsia="楷体_GB2312" w:cs="MingLiU"/>
        <w:kern w:val="0"/>
        <w:sz w:val="21"/>
        <w:u w:val="single"/>
      </w:rPr>
    </w:pPr>
    <w:r>
      <w:rPr>
        <w:rFonts w:hint="eastAsia"/>
      </w:rPr>
      <w:t>重庆江北国际机场T2、T3A航站楼零星植物及花器采购项目比选文件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rPr>
      <w:t>买卖合同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p>
    <w:pPr>
      <w:pStyle w:val="18"/>
      <w:ind w:right="-600" w:rightChars="-250" w:firstLine="420" w:firstLineChars="200"/>
      <w:jc w:val="left"/>
      <w:rPr>
        <w:rFonts w:ascii="楷体_GB2312" w:hAnsi="仿宋" w:eastAsia="楷体_GB2312" w:cs="MingLiU"/>
        <w:kern w:val="0"/>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23794"/>
    <w:multiLevelType w:val="multilevel"/>
    <w:tmpl w:val="93023794"/>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B14A7B6"/>
    <w:multiLevelType w:val="singleLevel"/>
    <w:tmpl w:val="CB14A7B6"/>
    <w:lvl w:ilvl="0" w:tentative="0">
      <w:start w:val="2"/>
      <w:numFmt w:val="decimal"/>
      <w:suff w:val="space"/>
      <w:lvlText w:val="%1."/>
      <w:lvlJc w:val="left"/>
    </w:lvl>
  </w:abstractNum>
  <w:abstractNum w:abstractNumId="2">
    <w:nsid w:val="F4CF3862"/>
    <w:multiLevelType w:val="singleLevel"/>
    <w:tmpl w:val="F4CF3862"/>
    <w:lvl w:ilvl="0" w:tentative="0">
      <w:start w:val="7"/>
      <w:numFmt w:val="chineseCounting"/>
      <w:suff w:val="space"/>
      <w:lvlText w:val="第%1条"/>
      <w:lvlJc w:val="left"/>
      <w:rPr>
        <w:rFonts w:hint="eastAsia"/>
      </w:rPr>
    </w:lvl>
  </w:abstractNum>
  <w:abstractNum w:abstractNumId="3">
    <w:nsid w:val="58A5BADF"/>
    <w:multiLevelType w:val="singleLevel"/>
    <w:tmpl w:val="58A5BADF"/>
    <w:lvl w:ilvl="0" w:tentative="0">
      <w:start w:val="2"/>
      <w:numFmt w:val="chineseCounting"/>
      <w:suff w:val="space"/>
      <w:lvlText w:val="第%1章"/>
      <w:lvlJc w:val="left"/>
      <w:rPr>
        <w:rFonts w:hint="eastAsia"/>
      </w:rPr>
    </w:lvl>
  </w:abstractNum>
  <w:abstractNum w:abstractNumId="4">
    <w:nsid w:val="6217873D"/>
    <w:multiLevelType w:val="singleLevel"/>
    <w:tmpl w:val="6217873D"/>
    <w:lvl w:ilvl="0" w:tentative="0">
      <w:start w:val="3"/>
      <w:numFmt w:val="chineseCounting"/>
      <w:suff w:val="nothing"/>
      <w:lvlText w:val="（%1）"/>
      <w:lvlJc w:val="left"/>
      <w:pPr>
        <w:ind w:left="2909" w:firstLine="0"/>
      </w:pPr>
      <w:rPr>
        <w:rFonts w:hint="eastAsia"/>
      </w:rPr>
    </w:lvl>
  </w:abstractNum>
  <w:abstractNum w:abstractNumId="5">
    <w:nsid w:val="670B4BAB"/>
    <w:multiLevelType w:val="singleLevel"/>
    <w:tmpl w:val="670B4BAB"/>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34"/>
    <w:rsid w:val="00056054"/>
    <w:rsid w:val="000E2BDC"/>
    <w:rsid w:val="000F729B"/>
    <w:rsid w:val="00133462"/>
    <w:rsid w:val="001729DA"/>
    <w:rsid w:val="00201746"/>
    <w:rsid w:val="002235C5"/>
    <w:rsid w:val="00272F95"/>
    <w:rsid w:val="00274C04"/>
    <w:rsid w:val="002C6219"/>
    <w:rsid w:val="00300DE4"/>
    <w:rsid w:val="00327195"/>
    <w:rsid w:val="00336BB1"/>
    <w:rsid w:val="003665B5"/>
    <w:rsid w:val="003700A5"/>
    <w:rsid w:val="003A275F"/>
    <w:rsid w:val="003A61B9"/>
    <w:rsid w:val="003C31AD"/>
    <w:rsid w:val="003E12EF"/>
    <w:rsid w:val="00411B02"/>
    <w:rsid w:val="00413246"/>
    <w:rsid w:val="0042352A"/>
    <w:rsid w:val="004E6B9C"/>
    <w:rsid w:val="00500187"/>
    <w:rsid w:val="00565DE1"/>
    <w:rsid w:val="005B2AFE"/>
    <w:rsid w:val="005F4421"/>
    <w:rsid w:val="00631EC8"/>
    <w:rsid w:val="00646405"/>
    <w:rsid w:val="00654DA4"/>
    <w:rsid w:val="006674ED"/>
    <w:rsid w:val="006A7133"/>
    <w:rsid w:val="006D2E7B"/>
    <w:rsid w:val="00702F10"/>
    <w:rsid w:val="007108E1"/>
    <w:rsid w:val="00754176"/>
    <w:rsid w:val="007A62F8"/>
    <w:rsid w:val="007C210F"/>
    <w:rsid w:val="007D7D6E"/>
    <w:rsid w:val="00806F5A"/>
    <w:rsid w:val="00860198"/>
    <w:rsid w:val="008C10BE"/>
    <w:rsid w:val="008F798F"/>
    <w:rsid w:val="008F7E9A"/>
    <w:rsid w:val="009A2D00"/>
    <w:rsid w:val="00A11EF5"/>
    <w:rsid w:val="00AB30E2"/>
    <w:rsid w:val="00B16754"/>
    <w:rsid w:val="00B53493"/>
    <w:rsid w:val="00B54834"/>
    <w:rsid w:val="00B66A05"/>
    <w:rsid w:val="00B76FA1"/>
    <w:rsid w:val="00B923E5"/>
    <w:rsid w:val="00BF1296"/>
    <w:rsid w:val="00C318AB"/>
    <w:rsid w:val="00C528A3"/>
    <w:rsid w:val="00C639C2"/>
    <w:rsid w:val="00CF4FC9"/>
    <w:rsid w:val="00D5731F"/>
    <w:rsid w:val="00D86CDA"/>
    <w:rsid w:val="00E10F3E"/>
    <w:rsid w:val="00E37922"/>
    <w:rsid w:val="00E471A4"/>
    <w:rsid w:val="00E667EF"/>
    <w:rsid w:val="00E70DE3"/>
    <w:rsid w:val="00E72587"/>
    <w:rsid w:val="00E85044"/>
    <w:rsid w:val="00EA0EA0"/>
    <w:rsid w:val="00EC74DC"/>
    <w:rsid w:val="00F03B18"/>
    <w:rsid w:val="00F05511"/>
    <w:rsid w:val="00F157A9"/>
    <w:rsid w:val="00F71636"/>
    <w:rsid w:val="00FB0310"/>
    <w:rsid w:val="00FE1185"/>
    <w:rsid w:val="01A16212"/>
    <w:rsid w:val="027E164F"/>
    <w:rsid w:val="03AA5E4F"/>
    <w:rsid w:val="03D253A7"/>
    <w:rsid w:val="0402017C"/>
    <w:rsid w:val="051662D5"/>
    <w:rsid w:val="057B1BFB"/>
    <w:rsid w:val="05AC5286"/>
    <w:rsid w:val="05E41267"/>
    <w:rsid w:val="06050F18"/>
    <w:rsid w:val="06533EE0"/>
    <w:rsid w:val="06FE4DE0"/>
    <w:rsid w:val="07605184"/>
    <w:rsid w:val="07E166C1"/>
    <w:rsid w:val="08332EA6"/>
    <w:rsid w:val="09A238F6"/>
    <w:rsid w:val="09D20992"/>
    <w:rsid w:val="09DC7A51"/>
    <w:rsid w:val="0A026A4C"/>
    <w:rsid w:val="0A076C9F"/>
    <w:rsid w:val="0A9F22D4"/>
    <w:rsid w:val="0AA14D75"/>
    <w:rsid w:val="0B3628BD"/>
    <w:rsid w:val="0CE55A98"/>
    <w:rsid w:val="0CFF718D"/>
    <w:rsid w:val="0E49253C"/>
    <w:rsid w:val="0F0170F3"/>
    <w:rsid w:val="10510E75"/>
    <w:rsid w:val="10677A88"/>
    <w:rsid w:val="110E154C"/>
    <w:rsid w:val="11D335D3"/>
    <w:rsid w:val="12433607"/>
    <w:rsid w:val="128E6EE9"/>
    <w:rsid w:val="12C36C8B"/>
    <w:rsid w:val="136F358F"/>
    <w:rsid w:val="13BA396F"/>
    <w:rsid w:val="141463AD"/>
    <w:rsid w:val="14734963"/>
    <w:rsid w:val="14A33960"/>
    <w:rsid w:val="15783F5C"/>
    <w:rsid w:val="159A3E75"/>
    <w:rsid w:val="15C71F62"/>
    <w:rsid w:val="15F42E14"/>
    <w:rsid w:val="16716EBD"/>
    <w:rsid w:val="175A4167"/>
    <w:rsid w:val="17CC24D1"/>
    <w:rsid w:val="17CC4D38"/>
    <w:rsid w:val="17FB06FC"/>
    <w:rsid w:val="18B67AFC"/>
    <w:rsid w:val="192C3E59"/>
    <w:rsid w:val="19374C4C"/>
    <w:rsid w:val="19971250"/>
    <w:rsid w:val="1A0A5CC9"/>
    <w:rsid w:val="1A2D4C98"/>
    <w:rsid w:val="1B8A69BA"/>
    <w:rsid w:val="1B8D0CAC"/>
    <w:rsid w:val="1BCB00BD"/>
    <w:rsid w:val="1BDA6C8D"/>
    <w:rsid w:val="1C1D11FC"/>
    <w:rsid w:val="1CE91D33"/>
    <w:rsid w:val="1D05726B"/>
    <w:rsid w:val="1DB73F0A"/>
    <w:rsid w:val="1E413AFA"/>
    <w:rsid w:val="1F5D0AC3"/>
    <w:rsid w:val="1F6337FF"/>
    <w:rsid w:val="1FD1015D"/>
    <w:rsid w:val="202F077F"/>
    <w:rsid w:val="203D6DAC"/>
    <w:rsid w:val="21071996"/>
    <w:rsid w:val="230C31D9"/>
    <w:rsid w:val="237B4D2D"/>
    <w:rsid w:val="23842D08"/>
    <w:rsid w:val="240C5582"/>
    <w:rsid w:val="2418307D"/>
    <w:rsid w:val="24F43F42"/>
    <w:rsid w:val="24FD1927"/>
    <w:rsid w:val="25B660E6"/>
    <w:rsid w:val="25D358E0"/>
    <w:rsid w:val="260337C8"/>
    <w:rsid w:val="2613091D"/>
    <w:rsid w:val="266F5EBE"/>
    <w:rsid w:val="2702741C"/>
    <w:rsid w:val="270E1948"/>
    <w:rsid w:val="27CB3146"/>
    <w:rsid w:val="27FA5460"/>
    <w:rsid w:val="283C3412"/>
    <w:rsid w:val="286D4AB9"/>
    <w:rsid w:val="28A86D78"/>
    <w:rsid w:val="28D97088"/>
    <w:rsid w:val="29734030"/>
    <w:rsid w:val="297F5CF4"/>
    <w:rsid w:val="2A2B0FBD"/>
    <w:rsid w:val="2A4864A0"/>
    <w:rsid w:val="2A8704E0"/>
    <w:rsid w:val="2AB67EB1"/>
    <w:rsid w:val="2B185746"/>
    <w:rsid w:val="2C8D5D0C"/>
    <w:rsid w:val="2CD034F9"/>
    <w:rsid w:val="2CF75F5B"/>
    <w:rsid w:val="2D150557"/>
    <w:rsid w:val="2DC57B08"/>
    <w:rsid w:val="2E696829"/>
    <w:rsid w:val="2EBC7341"/>
    <w:rsid w:val="2EE439B1"/>
    <w:rsid w:val="2EFD28A0"/>
    <w:rsid w:val="2F7163F3"/>
    <w:rsid w:val="2FE1566D"/>
    <w:rsid w:val="2FFB780A"/>
    <w:rsid w:val="305F617C"/>
    <w:rsid w:val="30BF1EC5"/>
    <w:rsid w:val="31495115"/>
    <w:rsid w:val="32541673"/>
    <w:rsid w:val="32BE5695"/>
    <w:rsid w:val="34400F3A"/>
    <w:rsid w:val="34AB2033"/>
    <w:rsid w:val="35CC3C9C"/>
    <w:rsid w:val="36237195"/>
    <w:rsid w:val="37162EF8"/>
    <w:rsid w:val="37436AA1"/>
    <w:rsid w:val="38370C63"/>
    <w:rsid w:val="38FA7DA5"/>
    <w:rsid w:val="38FE2B5B"/>
    <w:rsid w:val="397D4F24"/>
    <w:rsid w:val="39CF088E"/>
    <w:rsid w:val="3B271BFF"/>
    <w:rsid w:val="3B33437C"/>
    <w:rsid w:val="3B7D3486"/>
    <w:rsid w:val="3BAC328D"/>
    <w:rsid w:val="3C9873A9"/>
    <w:rsid w:val="3CBF379D"/>
    <w:rsid w:val="3CE92C4E"/>
    <w:rsid w:val="3D2C1FEF"/>
    <w:rsid w:val="3D3F1CF0"/>
    <w:rsid w:val="3DEA7559"/>
    <w:rsid w:val="40572915"/>
    <w:rsid w:val="40665951"/>
    <w:rsid w:val="41143DE9"/>
    <w:rsid w:val="4158275A"/>
    <w:rsid w:val="424B3822"/>
    <w:rsid w:val="426C10A3"/>
    <w:rsid w:val="426F46B6"/>
    <w:rsid w:val="42A93B56"/>
    <w:rsid w:val="44C11AC1"/>
    <w:rsid w:val="44F42E55"/>
    <w:rsid w:val="44FE575D"/>
    <w:rsid w:val="45150836"/>
    <w:rsid w:val="45455078"/>
    <w:rsid w:val="45535494"/>
    <w:rsid w:val="45AC0D39"/>
    <w:rsid w:val="45C515D2"/>
    <w:rsid w:val="45D91C14"/>
    <w:rsid w:val="46C03285"/>
    <w:rsid w:val="46E3582B"/>
    <w:rsid w:val="49691DA4"/>
    <w:rsid w:val="497F22AF"/>
    <w:rsid w:val="4A6C1244"/>
    <w:rsid w:val="4D101F1F"/>
    <w:rsid w:val="4E063A8A"/>
    <w:rsid w:val="4E9418F1"/>
    <w:rsid w:val="4EE97014"/>
    <w:rsid w:val="4EFE15ED"/>
    <w:rsid w:val="4F097C45"/>
    <w:rsid w:val="4F351D3F"/>
    <w:rsid w:val="5091620D"/>
    <w:rsid w:val="50EA00B9"/>
    <w:rsid w:val="51C82E59"/>
    <w:rsid w:val="52D73AF9"/>
    <w:rsid w:val="52E959DD"/>
    <w:rsid w:val="53201690"/>
    <w:rsid w:val="536E7E6E"/>
    <w:rsid w:val="53727B5E"/>
    <w:rsid w:val="53BE0D7D"/>
    <w:rsid w:val="53CF1513"/>
    <w:rsid w:val="54540D22"/>
    <w:rsid w:val="54571391"/>
    <w:rsid w:val="54D56AAB"/>
    <w:rsid w:val="54E8144F"/>
    <w:rsid w:val="572818B0"/>
    <w:rsid w:val="57472571"/>
    <w:rsid w:val="578D0B69"/>
    <w:rsid w:val="5A1B4382"/>
    <w:rsid w:val="5A402855"/>
    <w:rsid w:val="5BF0714C"/>
    <w:rsid w:val="5C2027B0"/>
    <w:rsid w:val="5C952061"/>
    <w:rsid w:val="5D0C4473"/>
    <w:rsid w:val="5DD1671E"/>
    <w:rsid w:val="5E8918CE"/>
    <w:rsid w:val="5F2F402E"/>
    <w:rsid w:val="5F96076E"/>
    <w:rsid w:val="5FA618EC"/>
    <w:rsid w:val="607F7728"/>
    <w:rsid w:val="608A3C4F"/>
    <w:rsid w:val="61973225"/>
    <w:rsid w:val="62B94CDF"/>
    <w:rsid w:val="62D705B4"/>
    <w:rsid w:val="638C4613"/>
    <w:rsid w:val="63A40828"/>
    <w:rsid w:val="641F71F3"/>
    <w:rsid w:val="651E640D"/>
    <w:rsid w:val="65285762"/>
    <w:rsid w:val="65823601"/>
    <w:rsid w:val="65C22E4F"/>
    <w:rsid w:val="65DD18C0"/>
    <w:rsid w:val="669E198F"/>
    <w:rsid w:val="67952729"/>
    <w:rsid w:val="67B42DA9"/>
    <w:rsid w:val="67E01C96"/>
    <w:rsid w:val="69130751"/>
    <w:rsid w:val="69E80A73"/>
    <w:rsid w:val="6A0F413A"/>
    <w:rsid w:val="6AB03286"/>
    <w:rsid w:val="6ABC4A2B"/>
    <w:rsid w:val="6AD265CD"/>
    <w:rsid w:val="6CBE789C"/>
    <w:rsid w:val="6F262FA2"/>
    <w:rsid w:val="6F7E6B22"/>
    <w:rsid w:val="705F45A6"/>
    <w:rsid w:val="70C15387"/>
    <w:rsid w:val="70E66B7A"/>
    <w:rsid w:val="71AC1D94"/>
    <w:rsid w:val="71ED407B"/>
    <w:rsid w:val="728E4173"/>
    <w:rsid w:val="72937742"/>
    <w:rsid w:val="72B128F4"/>
    <w:rsid w:val="72C76FC3"/>
    <w:rsid w:val="7320163C"/>
    <w:rsid w:val="73564084"/>
    <w:rsid w:val="7381444D"/>
    <w:rsid w:val="73C46985"/>
    <w:rsid w:val="74474AFF"/>
    <w:rsid w:val="74901A05"/>
    <w:rsid w:val="74D03108"/>
    <w:rsid w:val="75665FF7"/>
    <w:rsid w:val="757527BF"/>
    <w:rsid w:val="75D71962"/>
    <w:rsid w:val="7753611F"/>
    <w:rsid w:val="7775418A"/>
    <w:rsid w:val="777D6306"/>
    <w:rsid w:val="78546FDC"/>
    <w:rsid w:val="79DA27CA"/>
    <w:rsid w:val="79E83F3C"/>
    <w:rsid w:val="7A1F0337"/>
    <w:rsid w:val="7A323AE2"/>
    <w:rsid w:val="7ADF0732"/>
    <w:rsid w:val="7CC06260"/>
    <w:rsid w:val="7CDB222D"/>
    <w:rsid w:val="7D6A20F5"/>
    <w:rsid w:val="7F071C2B"/>
    <w:rsid w:val="7F1E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4"/>
    <w:qFormat/>
    <w:uiPriority w:val="0"/>
    <w:pPr>
      <w:keepNext/>
      <w:keepLines/>
      <w:spacing w:line="360" w:lineRule="auto"/>
      <w:ind w:firstLine="880" w:firstLineChars="200"/>
      <w:jc w:val="center"/>
      <w:outlineLvl w:val="0"/>
    </w:pPr>
    <w:rPr>
      <w:rFonts w:ascii="Times New Roman" w:hAnsi="Times New Roman" w:eastAsia="宋体" w:cs="Times New Roman"/>
      <w:b/>
      <w:bCs/>
      <w:kern w:val="44"/>
      <w:sz w:val="44"/>
      <w:szCs w:val="44"/>
    </w:rPr>
  </w:style>
  <w:style w:type="paragraph" w:styleId="4">
    <w:name w:val="heading 2"/>
    <w:basedOn w:val="5"/>
    <w:next w:val="1"/>
    <w:link w:val="35"/>
    <w:qFormat/>
    <w:uiPriority w:val="0"/>
    <w:pPr>
      <w:keepNext/>
      <w:keepLines/>
      <w:spacing w:before="20" w:after="20"/>
      <w:ind w:firstLine="880"/>
      <w:jc w:val="left"/>
      <w:outlineLvl w:val="1"/>
    </w:pPr>
    <w:rPr>
      <w:rFonts w:ascii="Arial" w:hAnsi="Arial" w:eastAsia="宋体" w:cs="Times New Roman"/>
      <w:b/>
      <w:bCs/>
      <w:kern w:val="0"/>
      <w:sz w:val="32"/>
      <w:szCs w:val="32"/>
    </w:rPr>
  </w:style>
  <w:style w:type="paragraph" w:styleId="6">
    <w:name w:val="heading 3"/>
    <w:basedOn w:val="1"/>
    <w:next w:val="1"/>
    <w:link w:val="36"/>
    <w:qFormat/>
    <w:uiPriority w:val="0"/>
    <w:pPr>
      <w:keepNext/>
      <w:keepLines/>
      <w:spacing w:line="360" w:lineRule="auto"/>
      <w:ind w:firstLine="880" w:firstLineChars="200"/>
      <w:outlineLvl w:val="2"/>
    </w:pPr>
    <w:rPr>
      <w:rFonts w:ascii="仿宋" w:hAnsi="仿宋" w:eastAsia="仿宋_GB2312" w:cs="Times New Roman"/>
      <w:b/>
      <w:bCs/>
      <w:szCs w:val="32"/>
    </w:rPr>
  </w:style>
  <w:style w:type="paragraph" w:styleId="7">
    <w:name w:val="heading 4"/>
    <w:basedOn w:val="1"/>
    <w:next w:val="1"/>
    <w:link w:val="37"/>
    <w:qFormat/>
    <w:uiPriority w:val="0"/>
    <w:pPr>
      <w:keepNext/>
      <w:keepLines/>
      <w:spacing w:line="360" w:lineRule="auto"/>
      <w:ind w:firstLine="880" w:firstLineChars="200"/>
      <w:outlineLvl w:val="3"/>
    </w:pPr>
    <w:rPr>
      <w:rFonts w:ascii="Arial" w:hAnsi="Arial" w:eastAsia="宋体" w:cs="Times New Roman"/>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8">
    <w:name w:val="toc 7"/>
    <w:basedOn w:val="1"/>
    <w:next w:val="1"/>
    <w:unhideWhenUsed/>
    <w:qFormat/>
    <w:uiPriority w:val="39"/>
    <w:pPr>
      <w:ind w:left="2520" w:leftChars="1200"/>
    </w:pPr>
    <w:rPr>
      <w:rFonts w:ascii="Calibri" w:hAnsi="Calibri" w:eastAsia="宋体" w:cs="Times New Roman"/>
    </w:rPr>
  </w:style>
  <w:style w:type="paragraph" w:styleId="9">
    <w:name w:val="Normal Indent"/>
    <w:basedOn w:val="1"/>
    <w:qFormat/>
    <w:uiPriority w:val="0"/>
    <w:pPr>
      <w:ind w:firstLine="420" w:firstLineChars="200"/>
    </w:pPr>
    <w:rPr>
      <w:rFonts w:ascii="仿宋" w:hAnsi="仿宋" w:eastAsia="仿宋_GB2312" w:cs="Times New Roman"/>
      <w:szCs w:val="24"/>
    </w:rPr>
  </w:style>
  <w:style w:type="paragraph" w:styleId="10">
    <w:name w:val="Document Map"/>
    <w:basedOn w:val="1"/>
    <w:link w:val="38"/>
    <w:qFormat/>
    <w:uiPriority w:val="0"/>
    <w:pPr>
      <w:ind w:firstLine="880" w:firstLineChars="200"/>
    </w:pPr>
    <w:rPr>
      <w:rFonts w:ascii="宋体" w:hAnsi="仿宋"/>
      <w:sz w:val="18"/>
      <w:szCs w:val="18"/>
    </w:rPr>
  </w:style>
  <w:style w:type="paragraph" w:styleId="11">
    <w:name w:val="toc 5"/>
    <w:basedOn w:val="1"/>
    <w:next w:val="1"/>
    <w:unhideWhenUsed/>
    <w:qFormat/>
    <w:uiPriority w:val="39"/>
    <w:pPr>
      <w:ind w:left="1680" w:leftChars="800"/>
    </w:pPr>
    <w:rPr>
      <w:rFonts w:ascii="Calibri" w:hAnsi="Calibri" w:eastAsia="宋体" w:cs="Times New Roman"/>
    </w:rPr>
  </w:style>
  <w:style w:type="paragraph" w:styleId="12">
    <w:name w:val="toc 3"/>
    <w:basedOn w:val="1"/>
    <w:next w:val="1"/>
    <w:qFormat/>
    <w:uiPriority w:val="39"/>
    <w:pPr>
      <w:tabs>
        <w:tab w:val="right" w:leader="dot" w:pos="9628"/>
      </w:tabs>
      <w:ind w:left="840" w:leftChars="400" w:firstLine="880" w:firstLineChars="200"/>
    </w:pPr>
    <w:rPr>
      <w:rFonts w:ascii="仿宋" w:hAnsi="仿宋" w:eastAsia="仿宋_GB2312" w:cs="Times New Roman"/>
      <w:szCs w:val="24"/>
    </w:rPr>
  </w:style>
  <w:style w:type="paragraph" w:styleId="13">
    <w:name w:val="Plain Text"/>
    <w:basedOn w:val="1"/>
    <w:link w:val="46"/>
    <w:qFormat/>
    <w:uiPriority w:val="0"/>
    <w:pPr>
      <w:ind w:firstLine="880" w:firstLineChars="200"/>
    </w:pPr>
    <w:rPr>
      <w:rFonts w:ascii="宋体" w:hAnsi="Courier New" w:eastAsia="宋体" w:cs="Times New Roman"/>
      <w:sz w:val="28"/>
      <w:szCs w:val="28"/>
    </w:rPr>
  </w:style>
  <w:style w:type="paragraph" w:styleId="14">
    <w:name w:val="toc 8"/>
    <w:basedOn w:val="1"/>
    <w:next w:val="1"/>
    <w:unhideWhenUsed/>
    <w:qFormat/>
    <w:uiPriority w:val="39"/>
    <w:pPr>
      <w:ind w:left="2940" w:leftChars="1400"/>
    </w:pPr>
    <w:rPr>
      <w:rFonts w:ascii="Calibri" w:hAnsi="Calibri" w:eastAsia="宋体" w:cs="Times New Roman"/>
    </w:rPr>
  </w:style>
  <w:style w:type="paragraph" w:styleId="15">
    <w:name w:val="Date"/>
    <w:basedOn w:val="1"/>
    <w:next w:val="1"/>
    <w:link w:val="40"/>
    <w:qFormat/>
    <w:uiPriority w:val="99"/>
    <w:pPr>
      <w:ind w:left="100" w:leftChars="2500"/>
    </w:pPr>
    <w:rPr>
      <w:szCs w:val="24"/>
    </w:rPr>
  </w:style>
  <w:style w:type="paragraph" w:styleId="16">
    <w:name w:val="Balloon Text"/>
    <w:basedOn w:val="1"/>
    <w:link w:val="41"/>
    <w:qFormat/>
    <w:uiPriority w:val="0"/>
    <w:pPr>
      <w:ind w:firstLine="880" w:firstLineChars="200"/>
    </w:pPr>
    <w:rPr>
      <w:rFonts w:ascii="仿宋" w:hAnsi="仿宋" w:eastAsia="仿宋_GB2312"/>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ind w:firstLine="880" w:firstLineChars="200"/>
    </w:pPr>
    <w:rPr>
      <w:rFonts w:ascii="仿宋" w:hAnsi="仿宋" w:eastAsia="仿宋_GB2312" w:cs="Times New Roman"/>
      <w:szCs w:val="24"/>
    </w:rPr>
  </w:style>
  <w:style w:type="paragraph" w:styleId="20">
    <w:name w:val="toc 4"/>
    <w:basedOn w:val="1"/>
    <w:next w:val="1"/>
    <w:unhideWhenUsed/>
    <w:qFormat/>
    <w:uiPriority w:val="39"/>
    <w:pPr>
      <w:ind w:left="1260" w:leftChars="600"/>
    </w:pPr>
    <w:rPr>
      <w:rFonts w:ascii="Calibri" w:hAnsi="Calibri" w:eastAsia="宋体" w:cs="Times New Roman"/>
    </w:rPr>
  </w:style>
  <w:style w:type="paragraph" w:styleId="21">
    <w:name w:val="toc 6"/>
    <w:basedOn w:val="1"/>
    <w:next w:val="1"/>
    <w:unhideWhenUsed/>
    <w:qFormat/>
    <w:uiPriority w:val="39"/>
    <w:pPr>
      <w:ind w:left="2100" w:leftChars="1000"/>
    </w:pPr>
    <w:rPr>
      <w:rFonts w:ascii="Calibri" w:hAnsi="Calibri" w:eastAsia="宋体" w:cs="Times New Roman"/>
    </w:rPr>
  </w:style>
  <w:style w:type="paragraph" w:styleId="22">
    <w:name w:val="toc 2"/>
    <w:basedOn w:val="1"/>
    <w:next w:val="1"/>
    <w:qFormat/>
    <w:uiPriority w:val="39"/>
    <w:pPr>
      <w:ind w:left="420" w:leftChars="200" w:firstLine="880" w:firstLineChars="200"/>
    </w:pPr>
    <w:rPr>
      <w:rFonts w:ascii="仿宋" w:hAnsi="仿宋" w:eastAsia="仿宋_GB2312" w:cs="Times New Roman"/>
      <w:szCs w:val="24"/>
    </w:rPr>
  </w:style>
  <w:style w:type="paragraph" w:styleId="23">
    <w:name w:val="toc 9"/>
    <w:basedOn w:val="1"/>
    <w:next w:val="1"/>
    <w:unhideWhenUsed/>
    <w:qFormat/>
    <w:uiPriority w:val="39"/>
    <w:pPr>
      <w:ind w:left="3360" w:leftChars="1600"/>
    </w:pPr>
    <w:rPr>
      <w:rFonts w:ascii="Calibri" w:hAnsi="Calibri" w:eastAsia="宋体" w:cs="Times New Roman"/>
    </w:rPr>
  </w:style>
  <w:style w:type="paragraph" w:styleId="24">
    <w:name w:val="Normal (Web)"/>
    <w:basedOn w:val="1"/>
    <w:qFormat/>
    <w:uiPriority w:val="0"/>
    <w:pPr>
      <w:spacing w:beforeAutospacing="1" w:afterAutospacing="1"/>
      <w:jc w:val="left"/>
    </w:pPr>
    <w:rPr>
      <w:rFonts w:cs="Times New Roman"/>
      <w:kern w:val="0"/>
    </w:rPr>
  </w:style>
  <w:style w:type="paragraph" w:styleId="25">
    <w:name w:val="Title"/>
    <w:basedOn w:val="1"/>
    <w:next w:val="1"/>
    <w:link w:val="42"/>
    <w:qFormat/>
    <w:uiPriority w:val="0"/>
    <w:pPr>
      <w:spacing w:before="240" w:after="60" w:line="360" w:lineRule="auto"/>
      <w:ind w:firstLine="880" w:firstLineChars="200"/>
      <w:jc w:val="center"/>
      <w:outlineLvl w:val="0"/>
    </w:pPr>
    <w:rPr>
      <w:rFonts w:ascii="Calibri" w:hAnsi="Calibri" w:eastAsia="宋体" w:cs="Times New Roman"/>
      <w:b/>
      <w:bCs/>
      <w:sz w:val="32"/>
      <w:szCs w:val="32"/>
    </w:rPr>
  </w:style>
  <w:style w:type="table" w:styleId="27">
    <w:name w:val="Table Grid"/>
    <w:basedOn w:val="26"/>
    <w:unhideWhenUsed/>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qFormat/>
    <w:uiPriority w:val="0"/>
    <w:rPr>
      <w:color w:val="CC0000"/>
    </w:rPr>
  </w:style>
  <w:style w:type="character" w:styleId="31">
    <w:name w:val="Hyperlink"/>
    <w:basedOn w:val="28"/>
    <w:qFormat/>
    <w:uiPriority w:val="99"/>
    <w:rPr>
      <w:color w:val="0000FF"/>
      <w:u w:val="single"/>
    </w:rPr>
  </w:style>
  <w:style w:type="character" w:customStyle="1" w:styleId="32">
    <w:name w:val="页眉 字符"/>
    <w:basedOn w:val="28"/>
    <w:link w:val="18"/>
    <w:qFormat/>
    <w:uiPriority w:val="99"/>
    <w:rPr>
      <w:sz w:val="18"/>
      <w:szCs w:val="18"/>
    </w:rPr>
  </w:style>
  <w:style w:type="character" w:customStyle="1" w:styleId="33">
    <w:name w:val="页脚 字符"/>
    <w:basedOn w:val="28"/>
    <w:link w:val="17"/>
    <w:qFormat/>
    <w:uiPriority w:val="99"/>
    <w:rPr>
      <w:sz w:val="18"/>
      <w:szCs w:val="18"/>
    </w:rPr>
  </w:style>
  <w:style w:type="character" w:customStyle="1" w:styleId="34">
    <w:name w:val="标题 1 字符"/>
    <w:basedOn w:val="28"/>
    <w:link w:val="3"/>
    <w:qFormat/>
    <w:uiPriority w:val="0"/>
    <w:rPr>
      <w:rFonts w:ascii="Times New Roman" w:hAnsi="Times New Roman" w:eastAsia="宋体" w:cs="Times New Roman"/>
      <w:b/>
      <w:bCs/>
      <w:kern w:val="44"/>
      <w:sz w:val="44"/>
      <w:szCs w:val="44"/>
    </w:rPr>
  </w:style>
  <w:style w:type="character" w:customStyle="1" w:styleId="35">
    <w:name w:val="标题 2 字符1"/>
    <w:basedOn w:val="28"/>
    <w:link w:val="4"/>
    <w:qFormat/>
    <w:uiPriority w:val="0"/>
    <w:rPr>
      <w:rFonts w:ascii="Arial" w:hAnsi="Arial" w:eastAsia="宋体" w:cs="Times New Roman"/>
      <w:b/>
      <w:bCs/>
      <w:kern w:val="0"/>
      <w:sz w:val="32"/>
      <w:szCs w:val="32"/>
    </w:rPr>
  </w:style>
  <w:style w:type="character" w:customStyle="1" w:styleId="36">
    <w:name w:val="标题 3 字符"/>
    <w:basedOn w:val="28"/>
    <w:link w:val="6"/>
    <w:qFormat/>
    <w:uiPriority w:val="0"/>
    <w:rPr>
      <w:rFonts w:ascii="仿宋" w:hAnsi="仿宋" w:eastAsia="仿宋_GB2312" w:cs="Times New Roman"/>
      <w:b/>
      <w:bCs/>
      <w:szCs w:val="32"/>
    </w:rPr>
  </w:style>
  <w:style w:type="character" w:customStyle="1" w:styleId="37">
    <w:name w:val="标题 4 字符"/>
    <w:basedOn w:val="28"/>
    <w:link w:val="7"/>
    <w:qFormat/>
    <w:uiPriority w:val="0"/>
    <w:rPr>
      <w:rFonts w:ascii="Arial" w:hAnsi="Arial" w:eastAsia="宋体" w:cs="Times New Roman"/>
      <w:b/>
      <w:bCs/>
      <w:szCs w:val="28"/>
    </w:rPr>
  </w:style>
  <w:style w:type="character" w:customStyle="1" w:styleId="38">
    <w:name w:val="文档结构图 字符"/>
    <w:link w:val="10"/>
    <w:qFormat/>
    <w:uiPriority w:val="0"/>
    <w:rPr>
      <w:rFonts w:ascii="宋体" w:hAnsi="仿宋"/>
      <w:sz w:val="18"/>
      <w:szCs w:val="18"/>
    </w:rPr>
  </w:style>
  <w:style w:type="character" w:customStyle="1" w:styleId="39">
    <w:name w:val="标题 2 字符"/>
    <w:qFormat/>
    <w:uiPriority w:val="0"/>
    <w:rPr>
      <w:rFonts w:ascii="Arial" w:hAnsi="Arial" w:eastAsia="黑体" w:cs="Times New Roman"/>
      <w:b/>
      <w:bCs/>
      <w:sz w:val="24"/>
      <w:szCs w:val="32"/>
    </w:rPr>
  </w:style>
  <w:style w:type="character" w:customStyle="1" w:styleId="40">
    <w:name w:val="日期 字符"/>
    <w:link w:val="15"/>
    <w:qFormat/>
    <w:uiPriority w:val="99"/>
    <w:rPr>
      <w:szCs w:val="24"/>
    </w:rPr>
  </w:style>
  <w:style w:type="character" w:customStyle="1" w:styleId="41">
    <w:name w:val="批注框文本 字符"/>
    <w:link w:val="16"/>
    <w:qFormat/>
    <w:uiPriority w:val="0"/>
    <w:rPr>
      <w:rFonts w:ascii="仿宋" w:hAnsi="仿宋" w:eastAsia="仿宋_GB2312"/>
      <w:sz w:val="18"/>
      <w:szCs w:val="18"/>
    </w:rPr>
  </w:style>
  <w:style w:type="character" w:customStyle="1" w:styleId="42">
    <w:name w:val="标题 字符"/>
    <w:basedOn w:val="28"/>
    <w:link w:val="25"/>
    <w:qFormat/>
    <w:uiPriority w:val="0"/>
    <w:rPr>
      <w:rFonts w:ascii="Calibri" w:hAnsi="Calibri" w:eastAsia="宋体" w:cs="Times New Roman"/>
      <w:b/>
      <w:bCs/>
      <w:sz w:val="32"/>
      <w:szCs w:val="32"/>
    </w:rPr>
  </w:style>
  <w:style w:type="character" w:customStyle="1" w:styleId="43">
    <w:name w:val="文档结构图 Char1"/>
    <w:basedOn w:val="28"/>
    <w:semiHidden/>
    <w:qFormat/>
    <w:uiPriority w:val="99"/>
    <w:rPr>
      <w:rFonts w:ascii="宋体" w:eastAsia="宋体"/>
      <w:sz w:val="18"/>
      <w:szCs w:val="18"/>
    </w:rPr>
  </w:style>
  <w:style w:type="character" w:customStyle="1" w:styleId="44">
    <w:name w:val="日期 Char1"/>
    <w:basedOn w:val="28"/>
    <w:semiHidden/>
    <w:qFormat/>
    <w:uiPriority w:val="99"/>
  </w:style>
  <w:style w:type="character" w:customStyle="1" w:styleId="45">
    <w:name w:val="批注框文本 Char1"/>
    <w:basedOn w:val="28"/>
    <w:semiHidden/>
    <w:qFormat/>
    <w:uiPriority w:val="99"/>
    <w:rPr>
      <w:sz w:val="18"/>
      <w:szCs w:val="18"/>
    </w:rPr>
  </w:style>
  <w:style w:type="character" w:customStyle="1" w:styleId="46">
    <w:name w:val="纯文本 字符"/>
    <w:basedOn w:val="28"/>
    <w:link w:val="13"/>
    <w:qFormat/>
    <w:uiPriority w:val="0"/>
    <w:rPr>
      <w:rFonts w:ascii="宋体" w:hAnsi="Courier New" w:eastAsia="宋体" w:cs="Times New Roman"/>
      <w:sz w:val="28"/>
      <w:szCs w:val="28"/>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TOC 标题1"/>
    <w:basedOn w:val="3"/>
    <w:next w:val="1"/>
    <w:qFormat/>
    <w:uiPriority w:val="39"/>
    <w:pPr>
      <w:widowControl/>
      <w:spacing w:before="480" w:line="276" w:lineRule="auto"/>
      <w:ind w:firstLine="0" w:firstLineChars="0"/>
      <w:jc w:val="left"/>
      <w:outlineLvl w:val="9"/>
    </w:pPr>
    <w:rPr>
      <w:rFonts w:ascii="Cambria" w:hAnsi="Cambria"/>
      <w:color w:val="365F91"/>
      <w:kern w:val="0"/>
      <w:sz w:val="28"/>
      <w:szCs w:val="28"/>
    </w:rPr>
  </w:style>
  <w:style w:type="paragraph" w:customStyle="1" w:styleId="4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List Paragraph1"/>
    <w:basedOn w:val="1"/>
    <w:qFormat/>
    <w:uiPriority w:val="0"/>
    <w:pPr>
      <w:ind w:firstLine="420" w:firstLineChars="200"/>
    </w:pPr>
    <w:rPr>
      <w:rFonts w:ascii="Calibri" w:hAnsi="Calibri" w:eastAsia="仿宋_GB2312" w:cs="Times New Roman"/>
    </w:rPr>
  </w:style>
  <w:style w:type="paragraph" w:customStyle="1" w:styleId="51">
    <w:name w:val="Char Char Char Char Char Char1 Char"/>
    <w:basedOn w:val="1"/>
    <w:qFormat/>
    <w:uiPriority w:val="0"/>
    <w:pPr>
      <w:widowControl/>
      <w:spacing w:after="160" w:line="240" w:lineRule="exact"/>
      <w:ind w:firstLine="200" w:firstLineChars="200"/>
      <w:jc w:val="left"/>
    </w:pPr>
    <w:rPr>
      <w:rFonts w:ascii="仿宋" w:hAnsi="仿宋" w:eastAsia="仿宋_GB2312" w:cs="Times New Roman"/>
      <w:szCs w:val="24"/>
    </w:rPr>
  </w:style>
  <w:style w:type="paragraph" w:styleId="52">
    <w:name w:val="List Paragraph"/>
    <w:basedOn w:val="1"/>
    <w:qFormat/>
    <w:uiPriority w:val="34"/>
    <w:pPr>
      <w:ind w:firstLine="420" w:firstLineChars="200"/>
    </w:pPr>
  </w:style>
  <w:style w:type="paragraph" w:customStyle="1" w:styleId="5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54">
    <w:name w:val="Body text (2)_"/>
    <w:link w:val="55"/>
    <w:qFormat/>
    <w:uiPriority w:val="99"/>
    <w:rPr>
      <w:rFonts w:ascii="MingLiU" w:hAnsi="Calibri" w:eastAsia="MingLiU" w:cs="MingLiU"/>
      <w:sz w:val="30"/>
      <w:szCs w:val="30"/>
    </w:rPr>
  </w:style>
  <w:style w:type="paragraph" w:customStyle="1" w:styleId="55">
    <w:name w:val="Body text (2)1"/>
    <w:basedOn w:val="1"/>
    <w:link w:val="54"/>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0.png"/><Relationship Id="rId33" Type="http://schemas.openxmlformats.org/officeDocument/2006/relationships/image" Target="media/image9.jpe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F9093-CBCE-4319-AE1D-BEC5B3BA929C}">
  <ds:schemaRefs/>
</ds:datastoreItem>
</file>

<file path=docProps/app.xml><?xml version="1.0" encoding="utf-8"?>
<Properties xmlns="http://schemas.openxmlformats.org/officeDocument/2006/extended-properties" xmlns:vt="http://schemas.openxmlformats.org/officeDocument/2006/docPropsVTypes">
  <Template>Normal</Template>
  <Pages>61</Pages>
  <Words>4542</Words>
  <Characters>25894</Characters>
  <Lines>215</Lines>
  <Paragraphs>60</Paragraphs>
  <TotalTime>25</TotalTime>
  <ScaleCrop>false</ScaleCrop>
  <LinksUpToDate>false</LinksUpToDate>
  <CharactersWithSpaces>30376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2020-03-31T01:19:00Z</dcterms:created>
  <dc:creator>admin</dc:creator>
  <cp:lastModifiedBy>loveislove1416876309</cp:lastModifiedBy>
  <cp:lastPrinted>2020-05-12T06:30:00Z</cp:lastPrinted>
  <dcterms:modified xsi:type="dcterms:W3CDTF">2020-06-12T02:21:05Z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