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仿宋" w:hAnsi="仿宋" w:eastAsia="仿宋" w:cs="Times New Roman"/>
          <w:b/>
          <w:sz w:val="44"/>
          <w:szCs w:val="44"/>
          <w:lang w:eastAsia="zh-CN"/>
        </w:rPr>
      </w:pPr>
      <w:r>
        <w:rPr>
          <w:rFonts w:hint="eastAsia" w:ascii="仿宋" w:hAnsi="仿宋" w:eastAsia="仿宋" w:cs="Times New Roman"/>
          <w:b/>
          <w:sz w:val="44"/>
          <w:szCs w:val="44"/>
          <w:lang w:eastAsia="zh-CN"/>
        </w:rPr>
        <w:t>重庆机场集团有限公司航空物流园发展分公司</w:t>
      </w:r>
    </w:p>
    <w:p>
      <w:pPr>
        <w:jc w:val="center"/>
        <w:rPr>
          <w:rFonts w:ascii="仿宋" w:hAnsi="仿宋" w:eastAsia="仿宋"/>
          <w:b/>
          <w:color w:val="000000"/>
          <w:sz w:val="32"/>
        </w:rPr>
      </w:pPr>
      <w:r>
        <w:rPr>
          <w:rFonts w:hint="eastAsia" w:ascii="仿宋" w:hAnsi="仿宋" w:eastAsia="仿宋"/>
          <w:b/>
          <w:sz w:val="44"/>
          <w:szCs w:val="44"/>
        </w:rPr>
        <w:t>生活垃圾分类相关物资采购项目</w:t>
      </w:r>
    </w:p>
    <w:p>
      <w:pPr>
        <w:jc w:val="center"/>
        <w:rPr>
          <w:rFonts w:hint="eastAsia" w:ascii="仿宋" w:hAnsi="仿宋" w:eastAsia="仿宋"/>
          <w:b/>
          <w:sz w:val="44"/>
          <w:szCs w:val="44"/>
        </w:rPr>
      </w:pPr>
      <w:r>
        <w:rPr>
          <w:rFonts w:hint="eastAsia" w:ascii="仿宋" w:hAnsi="仿宋" w:eastAsia="仿宋"/>
          <w:b/>
          <w:sz w:val="44"/>
          <w:szCs w:val="44"/>
          <w:lang w:eastAsia="zh-CN"/>
        </w:rPr>
        <w:t>询价</w:t>
      </w:r>
      <w:r>
        <w:rPr>
          <w:rFonts w:hint="eastAsia" w:ascii="仿宋" w:hAnsi="仿宋" w:eastAsia="仿宋"/>
          <w:b/>
          <w:sz w:val="44"/>
          <w:szCs w:val="44"/>
        </w:rPr>
        <w:t>文件</w:t>
      </w:r>
    </w:p>
    <w:p>
      <w:pPr>
        <w:jc w:val="center"/>
        <w:rPr>
          <w:rFonts w:hint="eastAsia" w:ascii="仿宋" w:hAnsi="仿宋" w:eastAsia="仿宋"/>
          <w:b/>
          <w:sz w:val="44"/>
          <w:szCs w:val="44"/>
          <w:lang w:eastAsia="zh-CN"/>
        </w:rPr>
      </w:pPr>
      <w:r>
        <w:rPr>
          <w:rFonts w:hint="eastAsia" w:ascii="仿宋" w:hAnsi="仿宋" w:eastAsia="仿宋"/>
          <w:b/>
          <w:sz w:val="44"/>
          <w:szCs w:val="44"/>
          <w:lang w:eastAsia="zh-CN"/>
        </w:rPr>
        <w:t>（第二次）</w:t>
      </w:r>
    </w:p>
    <w:p>
      <w:pPr>
        <w:jc w:val="center"/>
        <w:rPr>
          <w:rFonts w:hint="eastAsia" w:ascii="仿宋" w:hAnsi="仿宋" w:eastAsia="仿宋"/>
          <w:b/>
          <w:color w:val="000000"/>
          <w:sz w:val="32"/>
        </w:rPr>
      </w:pPr>
    </w:p>
    <w:p>
      <w:pPr>
        <w:jc w:val="center"/>
        <w:rPr>
          <w:rFonts w:hint="eastAsia" w:ascii="仿宋" w:hAnsi="仿宋" w:eastAsia="仿宋"/>
          <w:b/>
          <w:color w:val="000000"/>
          <w:sz w:val="32"/>
          <w:u w:val="single"/>
          <w:lang w:val="en-US" w:eastAsia="zh-CN"/>
        </w:rPr>
      </w:pPr>
      <w:r>
        <w:rPr>
          <w:rFonts w:hint="eastAsia" w:ascii="仿宋" w:hAnsi="仿宋" w:eastAsia="仿宋"/>
          <w:b/>
          <w:color w:val="000000"/>
          <w:sz w:val="32"/>
        </w:rPr>
        <w:t>编号：</w:t>
      </w:r>
      <w:r>
        <w:rPr>
          <w:rFonts w:hint="eastAsia" w:ascii="仿宋" w:hAnsi="仿宋" w:eastAsia="仿宋"/>
          <w:b/>
          <w:color w:val="000000"/>
          <w:sz w:val="32"/>
          <w:lang w:val="en-US" w:eastAsia="zh-CN"/>
        </w:rPr>
        <w:t>BX2020-004</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仿宋" w:hAnsi="仿宋" w:eastAsia="仿宋"/>
          <w:b/>
          <w:color w:val="000000"/>
          <w:sz w:val="32"/>
          <w:szCs w:val="32"/>
        </w:rPr>
      </w:pPr>
    </w:p>
    <w:p>
      <w:pPr>
        <w:jc w:val="center"/>
        <w:rPr>
          <w:rFonts w:hint="eastAsia" w:ascii="仿宋" w:hAnsi="仿宋" w:eastAsia="仿宋"/>
          <w:b/>
          <w:color w:val="000000"/>
          <w:sz w:val="32"/>
          <w:szCs w:val="32"/>
        </w:rPr>
      </w:pPr>
    </w:p>
    <w:p>
      <w:pPr>
        <w:ind w:firstLine="1680" w:firstLineChars="600"/>
        <w:rPr>
          <w:rFonts w:ascii="仿宋" w:hAnsi="仿宋" w:eastAsia="仿宋"/>
          <w:b/>
          <w:color w:val="000000"/>
          <w:sz w:val="32"/>
          <w:szCs w:val="32"/>
          <w:highlight w:val="yellow"/>
        </w:rPr>
      </w:pPr>
      <w:r>
        <w:rPr>
          <w:rFonts w:hint="eastAsia" w:ascii="仿宋_GB2312" w:eastAsia="仿宋_GB2312"/>
          <w:bCs/>
          <w:sz w:val="28"/>
          <w:szCs w:val="28"/>
          <w:lang w:eastAsia="zh-CN"/>
        </w:rPr>
        <w:t>重庆机场集团有限公司航空物流园发展分公司</w:t>
      </w: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二〇二〇年</w:t>
      </w:r>
      <w:r>
        <w:rPr>
          <w:rFonts w:hint="eastAsia" w:ascii="仿宋" w:hAnsi="仿宋" w:eastAsia="仿宋"/>
          <w:b/>
          <w:color w:val="000000"/>
          <w:sz w:val="32"/>
          <w:szCs w:val="32"/>
          <w:lang w:eastAsia="zh-CN"/>
        </w:rPr>
        <w:t>六</w:t>
      </w:r>
      <w:r>
        <w:rPr>
          <w:rFonts w:hint="eastAsia" w:ascii="仿宋" w:hAnsi="仿宋" w:eastAsia="仿宋"/>
          <w:b/>
          <w:color w:val="000000"/>
          <w:sz w:val="32"/>
          <w:szCs w:val="32"/>
        </w:rPr>
        <w:t>月</w:t>
      </w:r>
    </w:p>
    <w:p>
      <w:pPr>
        <w:jc w:val="center"/>
        <w:rPr>
          <w:rFonts w:ascii="仿宋" w:hAnsi="仿宋" w:eastAsia="仿宋"/>
          <w:b/>
          <w:color w:val="000000"/>
          <w:sz w:val="44"/>
          <w:szCs w:val="44"/>
        </w:rPr>
      </w:pPr>
      <w:r>
        <w:rPr>
          <w:rFonts w:ascii="仿宋" w:hAnsi="仿宋" w:eastAsia="仿宋"/>
          <w:b/>
          <w:color w:val="000000"/>
          <w:sz w:val="52"/>
        </w:rPr>
        <w:br w:type="page"/>
      </w:r>
      <w:r>
        <w:rPr>
          <w:rFonts w:hint="eastAsia" w:ascii="仿宋" w:hAnsi="仿宋" w:eastAsia="仿宋"/>
          <w:b/>
          <w:sz w:val="44"/>
          <w:szCs w:val="44"/>
        </w:rPr>
        <w:t>生活垃圾分类相关物资采购</w:t>
      </w:r>
      <w:r>
        <w:rPr>
          <w:rFonts w:hint="eastAsia" w:ascii="仿宋" w:hAnsi="仿宋" w:eastAsia="仿宋"/>
          <w:b/>
          <w:color w:val="000000"/>
          <w:sz w:val="44"/>
          <w:szCs w:val="44"/>
        </w:rPr>
        <w:t>项目</w:t>
      </w:r>
      <w:r>
        <w:rPr>
          <w:rFonts w:hint="eastAsia" w:ascii="仿宋" w:hAnsi="仿宋" w:eastAsia="仿宋"/>
          <w:b/>
          <w:color w:val="000000"/>
          <w:sz w:val="44"/>
          <w:szCs w:val="44"/>
          <w:lang w:eastAsia="zh-CN"/>
        </w:rPr>
        <w:t>询价</w:t>
      </w:r>
      <w:r>
        <w:rPr>
          <w:rFonts w:hint="eastAsia" w:ascii="仿宋" w:hAnsi="仿宋" w:eastAsia="仿宋"/>
          <w:b/>
          <w:color w:val="000000"/>
          <w:sz w:val="44"/>
          <w:szCs w:val="44"/>
        </w:rPr>
        <w:t>文件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我司决定于近期将对</w:t>
      </w:r>
      <w:r>
        <w:rPr>
          <w:rFonts w:hint="eastAsia" w:ascii="仿宋" w:hAnsi="仿宋" w:eastAsia="仿宋"/>
          <w:sz w:val="28"/>
          <w:szCs w:val="28"/>
          <w:u w:val="single"/>
        </w:rPr>
        <w:t>生活垃圾分类相关物资采购项目</w:t>
      </w:r>
      <w:r>
        <w:rPr>
          <w:rFonts w:hint="eastAsia" w:ascii="仿宋" w:hAnsi="仿宋" w:eastAsia="仿宋"/>
          <w:color w:val="000000"/>
          <w:sz w:val="28"/>
          <w:szCs w:val="28"/>
        </w:rPr>
        <w:t>邀请符合相应条件的供应商就本项目进行</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w:t>
      </w:r>
    </w:p>
    <w:p>
      <w:pPr>
        <w:widowControl/>
        <w:numPr>
          <w:ilvl w:val="0"/>
          <w:numId w:val="1"/>
        </w:numPr>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项目实施内容及要求：</w:t>
      </w:r>
    </w:p>
    <w:p>
      <w:pPr>
        <w:widowControl/>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1.编制依据</w:t>
      </w:r>
    </w:p>
    <w:p>
      <w:pPr>
        <w:ind w:firstLine="560" w:firstLineChars="200"/>
        <w:rPr>
          <w:rFonts w:ascii="仿宋" w:hAnsi="仿宋" w:eastAsia="仿宋"/>
          <w:color w:val="auto"/>
          <w:sz w:val="28"/>
          <w:szCs w:val="28"/>
        </w:rPr>
      </w:pPr>
      <w:r>
        <w:rPr>
          <w:rFonts w:hint="eastAsia" w:ascii="仿宋" w:hAnsi="仿宋" w:eastAsia="仿宋"/>
          <w:sz w:val="28"/>
          <w:szCs w:val="28"/>
        </w:rPr>
        <w:t>相关的国家及行业标准、法令、法规及安装验收规范。本项目套用</w:t>
      </w:r>
      <w:r>
        <w:rPr>
          <w:rFonts w:hint="eastAsia" w:ascii="仿宋" w:hAnsi="仿宋" w:eastAsia="仿宋"/>
          <w:sz w:val="28"/>
          <w:szCs w:val="28"/>
          <w:highlight w:val="none"/>
        </w:rPr>
        <w:t>《</w:t>
      </w:r>
      <w:r>
        <w:rPr>
          <w:rFonts w:ascii="仿宋" w:hAnsi="仿宋" w:eastAsia="仿宋"/>
          <w:sz w:val="28"/>
          <w:szCs w:val="28"/>
          <w:highlight w:val="none"/>
        </w:rPr>
        <w:t>纸质印刷品覆膜过程控制及检测方法</w:t>
      </w:r>
      <w:r>
        <w:rPr>
          <w:rFonts w:hint="eastAsia" w:ascii="仿宋" w:hAnsi="仿宋" w:eastAsia="仿宋"/>
          <w:sz w:val="28"/>
          <w:szCs w:val="28"/>
          <w:highlight w:val="none"/>
        </w:rPr>
        <w:t>第1部分》</w:t>
      </w:r>
      <w:r>
        <w:rPr>
          <w:rFonts w:ascii="仿宋" w:hAnsi="仿宋" w:eastAsia="仿宋"/>
          <w:sz w:val="28"/>
          <w:szCs w:val="28"/>
          <w:highlight w:val="none"/>
        </w:rPr>
        <w:t>GB 27934.1-2011</w:t>
      </w:r>
      <w:r>
        <w:rPr>
          <w:rFonts w:hint="eastAsia" w:ascii="仿宋" w:hAnsi="仿宋" w:eastAsia="仿宋"/>
          <w:sz w:val="28"/>
          <w:szCs w:val="28"/>
          <w:highlight w:val="none"/>
        </w:rPr>
        <w:t>、《纸质印刷品覆膜过程控制及检测方法 第4部分》GB/T 27934.4-2011、《透明塑料透光率和雾度的测定》GB/T 2410、《普通用途双向拉伸聚丙烯（BOPP)薄膜》 GB/T10003-2008、《</w:t>
      </w:r>
      <w:r>
        <w:rPr>
          <w:rFonts w:ascii="仿宋" w:hAnsi="仿宋" w:eastAsia="仿宋"/>
          <w:sz w:val="28"/>
          <w:szCs w:val="28"/>
          <w:highlight w:val="none"/>
        </w:rPr>
        <w:t>不锈钢冷轧钢板和钢带</w:t>
      </w:r>
      <w:r>
        <w:rPr>
          <w:rFonts w:hint="eastAsia" w:ascii="仿宋" w:hAnsi="仿宋" w:eastAsia="仿宋"/>
          <w:sz w:val="28"/>
          <w:szCs w:val="28"/>
          <w:highlight w:val="none"/>
        </w:rPr>
        <w:t>》</w:t>
      </w:r>
      <w:r>
        <w:rPr>
          <w:rFonts w:ascii="仿宋" w:hAnsi="仿宋" w:eastAsia="仿宋"/>
          <w:sz w:val="28"/>
          <w:szCs w:val="28"/>
          <w:highlight w:val="none"/>
        </w:rPr>
        <w:t>GBT 3280-2007</w:t>
      </w:r>
      <w:r>
        <w:rPr>
          <w:rFonts w:hint="eastAsia" w:ascii="仿宋" w:hAnsi="仿宋" w:eastAsia="仿宋"/>
          <w:sz w:val="28"/>
          <w:szCs w:val="28"/>
          <w:highlight w:val="none"/>
        </w:rPr>
        <w:t>、《</w:t>
      </w:r>
      <w:r>
        <w:rPr>
          <w:rFonts w:ascii="仿宋" w:hAnsi="仿宋" w:eastAsia="仿宋"/>
          <w:sz w:val="28"/>
          <w:szCs w:val="28"/>
          <w:highlight w:val="none"/>
        </w:rPr>
        <w:t>不锈钢热轧钢板</w:t>
      </w:r>
      <w:r>
        <w:rPr>
          <w:rFonts w:hint="eastAsia" w:ascii="仿宋" w:hAnsi="仿宋" w:eastAsia="仿宋"/>
          <w:sz w:val="28"/>
          <w:szCs w:val="28"/>
          <w:highlight w:val="none"/>
        </w:rPr>
        <w:t>》</w:t>
      </w:r>
      <w:r>
        <w:rPr>
          <w:rFonts w:ascii="仿宋" w:hAnsi="仿宋" w:eastAsia="仿宋"/>
          <w:sz w:val="28"/>
          <w:szCs w:val="28"/>
          <w:highlight w:val="none"/>
        </w:rPr>
        <w:t>GBT4237-2007</w:t>
      </w:r>
      <w:r>
        <w:rPr>
          <w:rFonts w:hint="eastAsia" w:ascii="仿宋" w:hAnsi="仿宋" w:eastAsia="仿宋"/>
          <w:sz w:val="28"/>
          <w:szCs w:val="28"/>
          <w:highlight w:val="none"/>
        </w:rPr>
        <w:t>、《</w:t>
      </w:r>
      <w:r>
        <w:rPr>
          <w:rFonts w:ascii="仿宋" w:hAnsi="仿宋" w:eastAsia="仿宋"/>
          <w:sz w:val="28"/>
          <w:szCs w:val="28"/>
          <w:highlight w:val="none"/>
        </w:rPr>
        <w:t>不锈钢耐热钢牌号及化学成分</w:t>
      </w:r>
      <w:r>
        <w:rPr>
          <w:rFonts w:hint="eastAsia" w:ascii="仿宋" w:hAnsi="仿宋" w:eastAsia="仿宋"/>
          <w:sz w:val="28"/>
          <w:szCs w:val="28"/>
          <w:highlight w:val="none"/>
        </w:rPr>
        <w:t>》</w:t>
      </w:r>
      <w:r>
        <w:rPr>
          <w:rFonts w:ascii="仿宋" w:hAnsi="仿宋" w:eastAsia="仿宋"/>
          <w:sz w:val="28"/>
          <w:szCs w:val="28"/>
          <w:highlight w:val="none"/>
        </w:rPr>
        <w:t>GBT20878-2007</w:t>
      </w:r>
      <w:r>
        <w:rPr>
          <w:rFonts w:hint="eastAsia" w:ascii="仿宋" w:hAnsi="仿宋" w:eastAsia="仿宋"/>
          <w:sz w:val="28"/>
          <w:szCs w:val="28"/>
          <w:highlight w:val="none"/>
        </w:rPr>
        <w:t>、《市政工程工程量计算规范》（GB50857-2013）、《重庆市通用安装工程计价定额》(CQAZDE-2018)、《重庆市市政工程计价定额》(CQSZDE-2018)、《重庆市建设工程工程量清单计价规则》（CQJJGZ-2013）、《建设工程工程量清单计价规范》（GB50500-2013）等为依据及相应的配套定额和文件，由投标人结合自身实力、市场</w:t>
      </w:r>
      <w:r>
        <w:rPr>
          <w:rFonts w:hint="eastAsia" w:ascii="仿宋" w:hAnsi="仿宋" w:eastAsia="仿宋"/>
          <w:sz w:val="28"/>
          <w:szCs w:val="28"/>
        </w:rPr>
        <w:t>行情，其它定额及有关配套定额和文件，</w:t>
      </w:r>
      <w:r>
        <w:rPr>
          <w:rFonts w:hint="eastAsia" w:ascii="仿宋" w:hAnsi="仿宋" w:eastAsia="仿宋"/>
          <w:color w:val="auto"/>
          <w:sz w:val="28"/>
          <w:szCs w:val="28"/>
        </w:rPr>
        <w:t>文件截止日</w:t>
      </w:r>
      <w:r>
        <w:rPr>
          <w:rFonts w:hint="eastAsia" w:ascii="仿宋" w:hAnsi="仿宋" w:eastAsia="仿宋"/>
          <w:color w:val="auto"/>
          <w:sz w:val="28"/>
          <w:szCs w:val="28"/>
          <w:lang w:val="en-US" w:eastAsia="zh-CN"/>
        </w:rPr>
        <w:t>2020</w:t>
      </w:r>
      <w:r>
        <w:rPr>
          <w:rFonts w:hint="eastAsia" w:ascii="仿宋" w:hAnsi="仿宋" w:eastAsia="仿宋"/>
          <w:color w:val="auto"/>
          <w:sz w:val="28"/>
          <w:szCs w:val="28"/>
        </w:rPr>
        <w:t>年  月  日止。投标人也可依材料、人工、机械费用市场行情及企业利润高低，自行决定最终投标报价。</w:t>
      </w:r>
    </w:p>
    <w:p>
      <w:pPr>
        <w:spacing w:line="572" w:lineRule="exact"/>
        <w:ind w:firstLine="562" w:firstLineChars="200"/>
        <w:rPr>
          <w:rFonts w:ascii="仿宋" w:hAnsi="仿宋" w:eastAsia="仿宋"/>
          <w:b/>
          <w:bCs/>
          <w:color w:val="000000"/>
          <w:kern w:val="0"/>
          <w:sz w:val="28"/>
          <w:szCs w:val="28"/>
        </w:rPr>
      </w:pPr>
      <w:r>
        <w:rPr>
          <w:rFonts w:hint="eastAsia" w:ascii="仿宋" w:hAnsi="仿宋" w:eastAsia="仿宋"/>
          <w:b/>
          <w:bCs/>
          <w:color w:val="000000"/>
          <w:kern w:val="0"/>
          <w:sz w:val="28"/>
          <w:szCs w:val="28"/>
        </w:rPr>
        <w:t>2.项目概况</w:t>
      </w:r>
    </w:p>
    <w:p>
      <w:pPr>
        <w:spacing w:line="572" w:lineRule="exact"/>
        <w:ind w:firstLine="560" w:firstLineChars="200"/>
        <w:rPr>
          <w:rFonts w:ascii="仿宋_GB2312" w:eastAsia="仿宋_GB2312"/>
          <w:color w:val="000000"/>
          <w:sz w:val="30"/>
          <w:szCs w:val="30"/>
        </w:rPr>
      </w:pPr>
      <w:r>
        <w:rPr>
          <w:rFonts w:hint="eastAsia" w:ascii="仿宋" w:hAnsi="仿宋" w:eastAsia="仿宋"/>
          <w:color w:val="000000"/>
          <w:sz w:val="28"/>
          <w:szCs w:val="28"/>
        </w:rPr>
        <w:t>在重庆江北国际机场</w:t>
      </w:r>
      <w:r>
        <w:rPr>
          <w:rFonts w:hint="eastAsia" w:ascii="仿宋" w:hAnsi="仿宋" w:eastAsia="仿宋"/>
          <w:color w:val="000000"/>
          <w:sz w:val="28"/>
          <w:szCs w:val="28"/>
          <w:lang w:eastAsia="zh-CN"/>
        </w:rPr>
        <w:t>物流园区</w:t>
      </w:r>
      <w:r>
        <w:rPr>
          <w:rFonts w:hint="eastAsia" w:ascii="仿宋" w:hAnsi="仿宋" w:eastAsia="仿宋"/>
          <w:color w:val="000000"/>
          <w:sz w:val="28"/>
          <w:szCs w:val="28"/>
        </w:rPr>
        <w:t>范围内配置垃圾分类物资。具体采购内容：采</w:t>
      </w:r>
      <w:r>
        <w:rPr>
          <w:rFonts w:hint="eastAsia" w:ascii="仿宋" w:hAnsi="仿宋" w:eastAsia="仿宋"/>
          <w:color w:val="000000"/>
          <w:sz w:val="28"/>
          <w:szCs w:val="28"/>
          <w:lang w:eastAsia="zh-CN"/>
        </w:rPr>
        <w:t>购脚踏式四分类垃圾桶，烟缸式</w:t>
      </w:r>
      <w:r>
        <w:rPr>
          <w:rFonts w:hint="eastAsia" w:ascii="仿宋" w:hAnsi="仿宋" w:eastAsia="仿宋"/>
          <w:color w:val="000000"/>
          <w:sz w:val="28"/>
          <w:szCs w:val="28"/>
        </w:rPr>
        <w:t>垃圾桶</w:t>
      </w:r>
      <w:r>
        <w:rPr>
          <w:rFonts w:hint="eastAsia" w:ascii="仿宋" w:hAnsi="仿宋" w:eastAsia="仿宋"/>
          <w:color w:val="000000"/>
          <w:sz w:val="28"/>
          <w:szCs w:val="28"/>
          <w:lang w:eastAsia="zh-CN"/>
        </w:rPr>
        <w:t>、</w:t>
      </w:r>
      <w:r>
        <w:rPr>
          <w:rFonts w:hint="eastAsia" w:ascii="仿宋" w:hAnsi="仿宋" w:eastAsia="仿宋"/>
          <w:color w:val="000000"/>
          <w:sz w:val="28"/>
          <w:szCs w:val="28"/>
        </w:rPr>
        <w:t>印制垃圾分类标识，并将分类标识</w:t>
      </w:r>
      <w:r>
        <w:rPr>
          <w:rFonts w:hint="eastAsia" w:ascii="仿宋" w:hAnsi="仿宋" w:eastAsia="仿宋"/>
          <w:color w:val="000000"/>
          <w:sz w:val="28"/>
          <w:szCs w:val="28"/>
          <w:lang w:eastAsia="zh-CN"/>
        </w:rPr>
        <w:t>按甲方要求</w:t>
      </w:r>
      <w:r>
        <w:rPr>
          <w:rFonts w:hint="eastAsia" w:ascii="仿宋" w:hAnsi="仿宋" w:eastAsia="仿宋"/>
          <w:color w:val="000000"/>
          <w:sz w:val="28"/>
          <w:szCs w:val="28"/>
          <w:highlight w:val="none"/>
        </w:rPr>
        <w:t>张贴在每个垃圾桶</w:t>
      </w:r>
      <w:r>
        <w:rPr>
          <w:rFonts w:hint="eastAsia" w:ascii="仿宋" w:hAnsi="仿宋" w:eastAsia="仿宋"/>
          <w:color w:val="000000"/>
          <w:sz w:val="28"/>
          <w:szCs w:val="28"/>
          <w:highlight w:val="none"/>
          <w:lang w:eastAsia="zh-CN"/>
        </w:rPr>
        <w:t>上</w:t>
      </w:r>
      <w:r>
        <w:rPr>
          <w:rFonts w:hint="eastAsia" w:ascii="仿宋" w:hAnsi="仿宋" w:eastAsia="仿宋"/>
          <w:color w:val="000000"/>
          <w:sz w:val="28"/>
          <w:szCs w:val="28"/>
          <w:highlight w:val="none"/>
        </w:rPr>
        <w:t>使垃圾收集设施满足《重庆市城市生活垃圾分类收运设施</w:t>
      </w:r>
      <w:r>
        <w:rPr>
          <w:rFonts w:hint="eastAsia" w:ascii="仿宋" w:hAnsi="仿宋" w:eastAsia="仿宋"/>
          <w:color w:val="000000"/>
          <w:sz w:val="28"/>
          <w:szCs w:val="28"/>
        </w:rPr>
        <w:t>配置及管理导则》文件要求。</w:t>
      </w:r>
    </w:p>
    <w:p>
      <w:pPr>
        <w:widowControl/>
        <w:spacing w:line="360" w:lineRule="auto"/>
        <w:ind w:firstLine="562" w:firstLineChars="200"/>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3.资质及信誉要求</w:t>
      </w:r>
    </w:p>
    <w:p>
      <w:pPr>
        <w:spacing w:line="572" w:lineRule="exact"/>
        <w:ind w:firstLine="560" w:firstLineChars="200"/>
        <w:jc w:val="left"/>
        <w:rPr>
          <w:rFonts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3.1在中华人民共和国依法注册、具有独立法人资格，注册资本在</w:t>
      </w:r>
      <w:r>
        <w:rPr>
          <w:rFonts w:hint="eastAsia" w:ascii="仿宋" w:hAnsi="仿宋" w:eastAsia="仿宋"/>
          <w:color w:val="000000" w:themeColor="text1"/>
          <w:sz w:val="28"/>
          <w:szCs w:val="28"/>
          <w:highlight w:val="none"/>
          <w:lang w:val="en-US" w:eastAsia="zh-CN"/>
        </w:rPr>
        <w:t>2</w:t>
      </w:r>
      <w:r>
        <w:rPr>
          <w:rFonts w:hint="eastAsia" w:ascii="仿宋" w:hAnsi="仿宋" w:eastAsia="仿宋"/>
          <w:color w:val="000000" w:themeColor="text1"/>
          <w:sz w:val="28"/>
          <w:szCs w:val="28"/>
          <w:highlight w:val="none"/>
        </w:rPr>
        <w:t>00万元以上，具有有效营业执照且含</w:t>
      </w:r>
      <w:r>
        <w:rPr>
          <w:rFonts w:hint="eastAsia" w:ascii="仿宋" w:hAnsi="仿宋" w:eastAsia="仿宋"/>
          <w:color w:val="000000" w:themeColor="text1"/>
          <w:sz w:val="28"/>
          <w:szCs w:val="28"/>
          <w:highlight w:val="none"/>
          <w:lang w:eastAsia="zh-CN"/>
        </w:rPr>
        <w:t>盖招标内容</w:t>
      </w:r>
    </w:p>
    <w:p>
      <w:pPr>
        <w:spacing w:line="360" w:lineRule="auto"/>
        <w:ind w:firstLine="562" w:firstLineChars="200"/>
        <w:jc w:val="lef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4.制作要求</w:t>
      </w:r>
    </w:p>
    <w:p>
      <w:pPr>
        <w:widowControl/>
        <w:spacing w:line="360" w:lineRule="auto"/>
        <w:ind w:firstLine="562" w:firstLineChars="200"/>
        <w:jc w:val="left"/>
        <w:rPr>
          <w:rFonts w:hint="eastAsia" w:ascii="仿宋" w:hAnsi="仿宋" w:eastAsia="仿宋"/>
          <w:b/>
          <w:bCs/>
          <w:color w:val="000000" w:themeColor="text1"/>
          <w:sz w:val="28"/>
          <w:szCs w:val="28"/>
          <w:lang w:eastAsia="zh-CN"/>
        </w:rPr>
      </w:pPr>
      <w:r>
        <w:rPr>
          <w:rFonts w:hint="eastAsia" w:ascii="仿宋" w:hAnsi="仿宋" w:eastAsia="仿宋"/>
          <w:b/>
          <w:bCs/>
          <w:color w:val="000000" w:themeColor="text1"/>
          <w:sz w:val="28"/>
          <w:szCs w:val="28"/>
        </w:rPr>
        <w:t>4.1基本技术参数、数量、质量要求</w:t>
      </w:r>
    </w:p>
    <w:tbl>
      <w:tblPr>
        <w:tblStyle w:val="16"/>
        <w:tblpPr w:leftFromText="181" w:rightFromText="181" w:vertAnchor="text" w:horzAnchor="page" w:tblpX="1106" w:tblpY="631"/>
        <w:tblOverlap w:val="never"/>
        <w:tblW w:w="10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
        <w:gridCol w:w="1134"/>
        <w:gridCol w:w="2426"/>
        <w:gridCol w:w="1399"/>
        <w:gridCol w:w="2666"/>
        <w:gridCol w:w="147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 w:hRule="atLeast"/>
        </w:trPr>
        <w:tc>
          <w:tcPr>
            <w:tcW w:w="485" w:type="dxa"/>
            <w:vAlign w:val="center"/>
          </w:tcPr>
          <w:p>
            <w:pPr>
              <w:adjustRightInd w:val="0"/>
              <w:snapToGrid w:val="0"/>
              <w:jc w:val="center"/>
              <w:rPr>
                <w:rFonts w:ascii="仿宋_GB2312" w:eastAsia="仿宋_GB2312"/>
                <w:sz w:val="24"/>
              </w:rPr>
            </w:pPr>
            <w:r>
              <w:rPr>
                <w:rFonts w:hint="eastAsia" w:ascii="仿宋_GB2312" w:eastAsia="仿宋_GB2312"/>
                <w:sz w:val="24"/>
              </w:rPr>
              <w:t>序号</w:t>
            </w:r>
          </w:p>
        </w:tc>
        <w:tc>
          <w:tcPr>
            <w:tcW w:w="1134" w:type="dxa"/>
            <w:vAlign w:val="center"/>
          </w:tcPr>
          <w:p>
            <w:pPr>
              <w:adjustRightInd w:val="0"/>
              <w:snapToGrid w:val="0"/>
              <w:jc w:val="center"/>
              <w:rPr>
                <w:rFonts w:ascii="仿宋_GB2312" w:eastAsia="仿宋_GB2312"/>
                <w:sz w:val="24"/>
              </w:rPr>
            </w:pPr>
            <w:r>
              <w:rPr>
                <w:rFonts w:hint="eastAsia" w:ascii="仿宋_GB2312" w:hAnsi="宋体" w:eastAsia="仿宋_GB2312" w:cs="宋体"/>
                <w:color w:val="000000"/>
                <w:kern w:val="0"/>
                <w:sz w:val="24"/>
              </w:rPr>
              <w:t>产品名称</w:t>
            </w:r>
          </w:p>
        </w:tc>
        <w:tc>
          <w:tcPr>
            <w:tcW w:w="2426"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rPr>
              <w:t>规格</w:t>
            </w:r>
            <w:r>
              <w:rPr>
                <w:rFonts w:hint="eastAsia" w:ascii="仿宋_GB2312" w:eastAsia="仿宋_GB2312"/>
                <w:sz w:val="24"/>
                <w:lang w:eastAsia="zh-CN"/>
              </w:rPr>
              <w:t>及要求</w:t>
            </w:r>
          </w:p>
        </w:tc>
        <w:tc>
          <w:tcPr>
            <w:tcW w:w="1399" w:type="dxa"/>
            <w:vAlign w:val="center"/>
          </w:tcPr>
          <w:p>
            <w:pPr>
              <w:adjustRightInd w:val="0"/>
              <w:snapToGrid w:val="0"/>
              <w:jc w:val="center"/>
              <w:rPr>
                <w:rFonts w:ascii="仿宋_GB2312" w:eastAsia="仿宋_GB2312"/>
                <w:sz w:val="24"/>
              </w:rPr>
            </w:pPr>
            <w:r>
              <w:rPr>
                <w:rFonts w:hint="eastAsia" w:ascii="仿宋_GB2312" w:eastAsia="仿宋_GB2312"/>
                <w:sz w:val="24"/>
              </w:rPr>
              <w:t>数量</w:t>
            </w:r>
          </w:p>
        </w:tc>
        <w:tc>
          <w:tcPr>
            <w:tcW w:w="2666" w:type="dxa"/>
            <w:vAlign w:val="center"/>
          </w:tcPr>
          <w:p>
            <w:pPr>
              <w:adjustRightInd w:val="0"/>
              <w:snapToGrid w:val="0"/>
              <w:jc w:val="center"/>
              <w:rPr>
                <w:rFonts w:ascii="仿宋_GB2312" w:eastAsia="仿宋_GB2312"/>
                <w:sz w:val="24"/>
              </w:rPr>
            </w:pPr>
            <w:r>
              <w:rPr>
                <w:rFonts w:hint="eastAsia" w:ascii="仿宋_GB2312" w:eastAsia="仿宋_GB2312"/>
                <w:sz w:val="24"/>
              </w:rPr>
              <w:t>图示</w:t>
            </w:r>
          </w:p>
        </w:tc>
        <w:tc>
          <w:tcPr>
            <w:tcW w:w="1470"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eastAsia="zh-CN"/>
              </w:rPr>
              <w:t>单价限价（元）</w:t>
            </w:r>
          </w:p>
        </w:tc>
        <w:tc>
          <w:tcPr>
            <w:tcW w:w="1185"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eastAsia="zh-CN"/>
              </w:rPr>
              <w:t>总价限价（元）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485" w:type="dxa"/>
            <w:vAlign w:val="center"/>
          </w:tcPr>
          <w:p>
            <w:pPr>
              <w:adjustRightInd w:val="0"/>
              <w:snapToGrid w:val="0"/>
              <w:jc w:val="center"/>
              <w:rPr>
                <w:rFonts w:ascii="仿宋_GB2312" w:eastAsia="仿宋_GB2312"/>
                <w:sz w:val="24"/>
              </w:rPr>
            </w:pPr>
            <w:r>
              <w:rPr>
                <w:rFonts w:hint="eastAsia" w:ascii="仿宋_GB2312" w:eastAsia="仿宋_GB2312"/>
                <w:sz w:val="24"/>
              </w:rPr>
              <w:t>1</w:t>
            </w:r>
          </w:p>
        </w:tc>
        <w:tc>
          <w:tcPr>
            <w:tcW w:w="1134"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 xml:space="preserve">烟灰桶不锈钢烟灰柱 </w:t>
            </w:r>
          </w:p>
        </w:tc>
        <w:tc>
          <w:tcPr>
            <w:tcW w:w="2426" w:type="dxa"/>
            <w:vAlign w:val="center"/>
          </w:tcPr>
          <w:p>
            <w:pPr>
              <w:adjustRightInd w:val="0"/>
              <w:snapToGrid w:val="0"/>
              <w:jc w:val="left"/>
              <w:rPr>
                <w:rFonts w:hint="eastAsia" w:ascii="仿宋_GB2312" w:eastAsia="仿宋_GB2312"/>
                <w:color w:val="000000" w:themeColor="text1"/>
                <w:sz w:val="24"/>
              </w:rPr>
            </w:pPr>
            <w:r>
              <w:rPr>
                <w:rFonts w:hint="eastAsia" w:ascii="仿宋_GB2312" w:eastAsia="仿宋_GB2312"/>
                <w:color w:val="000000" w:themeColor="text1"/>
                <w:sz w:val="24"/>
                <w:lang w:eastAsia="zh-CN"/>
              </w:rPr>
              <w:t>材质：不</w:t>
            </w:r>
            <w:r>
              <w:rPr>
                <w:rFonts w:hint="eastAsia" w:ascii="仿宋_GB2312" w:eastAsia="仿宋_GB2312"/>
                <w:color w:val="000000" w:themeColor="text1"/>
                <w:sz w:val="24"/>
              </w:rPr>
              <w:t>锈钢</w:t>
            </w:r>
          </w:p>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eastAsia="zh-CN"/>
              </w:rPr>
              <w:t>尺寸：</w:t>
            </w:r>
            <w:r>
              <w:rPr>
                <w:rFonts w:hint="eastAsia" w:ascii="仿宋_GB2312" w:eastAsia="仿宋_GB2312"/>
                <w:color w:val="000000" w:themeColor="text1"/>
                <w:sz w:val="24"/>
                <w:lang w:val="en-US" w:eastAsia="zh-CN"/>
              </w:rPr>
              <w:t>250*250*1075mm</w:t>
            </w:r>
          </w:p>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类型：可固定地面</w:t>
            </w:r>
          </w:p>
        </w:tc>
        <w:tc>
          <w:tcPr>
            <w:tcW w:w="1399" w:type="dxa"/>
            <w:vAlign w:val="center"/>
          </w:tcPr>
          <w:p>
            <w:pPr>
              <w:adjustRightInd w:val="0"/>
              <w:snapToGrid w:val="0"/>
              <w:jc w:val="center"/>
              <w:rPr>
                <w:rFonts w:hint="eastAsia" w:ascii="仿宋_GB2312" w:eastAsia="仿宋_GB2312"/>
                <w:sz w:val="24"/>
                <w:lang w:val="en-US" w:eastAsia="zh-CN"/>
              </w:rPr>
            </w:pPr>
            <w:r>
              <w:rPr>
                <w:rFonts w:hint="eastAsia" w:ascii="仿宋_GB2312" w:eastAsia="仿宋_GB2312"/>
                <w:sz w:val="24"/>
                <w:lang w:val="en-US" w:eastAsia="zh-CN"/>
              </w:rPr>
              <w:t>12个</w:t>
            </w:r>
          </w:p>
        </w:tc>
        <w:tc>
          <w:tcPr>
            <w:tcW w:w="2666" w:type="dxa"/>
          </w:tcPr>
          <w:p>
            <w:pPr>
              <w:adjustRightInd w:val="0"/>
              <w:snapToGrid w:val="0"/>
              <w:jc w:val="center"/>
              <w:rPr>
                <w:rFonts w:ascii="仿宋" w:hAnsi="仿宋" w:eastAsia="仿宋"/>
                <w:sz w:val="32"/>
                <w:szCs w:val="32"/>
              </w:rPr>
            </w:pPr>
            <w:r>
              <w:drawing>
                <wp:inline distT="0" distB="0" distL="114300" distR="114300">
                  <wp:extent cx="1675765" cy="1712595"/>
                  <wp:effectExtent l="0" t="0" r="63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675765" cy="1712595"/>
                          </a:xfrm>
                          <a:prstGeom prst="rect">
                            <a:avLst/>
                          </a:prstGeom>
                          <a:noFill/>
                          <a:ln w="9525">
                            <a:noFill/>
                          </a:ln>
                        </pic:spPr>
                      </pic:pic>
                    </a:graphicData>
                  </a:graphic>
                </wp:inline>
              </w:drawing>
            </w:r>
          </w:p>
        </w:tc>
        <w:tc>
          <w:tcPr>
            <w:tcW w:w="1470" w:type="dxa"/>
          </w:tcPr>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500</w:t>
            </w:r>
          </w:p>
        </w:tc>
        <w:tc>
          <w:tcPr>
            <w:tcW w:w="1185" w:type="dxa"/>
          </w:tcPr>
          <w:p>
            <w:pPr>
              <w:adjustRightInd w:val="0"/>
              <w:snapToGrid w:val="0"/>
              <w:jc w:val="left"/>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485"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val="en-US" w:eastAsia="zh-CN"/>
              </w:rPr>
              <w:t>2</w:t>
            </w:r>
          </w:p>
        </w:tc>
        <w:tc>
          <w:tcPr>
            <w:tcW w:w="1134"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垃圾分类标识</w:t>
            </w:r>
          </w:p>
        </w:tc>
        <w:tc>
          <w:tcPr>
            <w:tcW w:w="2426"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根据《重庆市生活垃圾分类收集设置及标识导则》文件要求及现有垃圾桶分类类别，</w:t>
            </w:r>
            <w:r>
              <w:rPr>
                <w:rFonts w:hint="eastAsia" w:ascii="仿宋_GB2312" w:eastAsia="仿宋_GB2312"/>
                <w:color w:val="000000" w:themeColor="text1"/>
                <w:sz w:val="24"/>
                <w:lang w:eastAsia="zh-CN"/>
              </w:rPr>
              <w:t>并按要求粘贴在指定垃圾桶上。</w:t>
            </w:r>
            <w:r>
              <w:rPr>
                <w:rFonts w:hint="eastAsia" w:ascii="仿宋_GB2312" w:eastAsia="仿宋_GB2312"/>
                <w:color w:val="000000" w:themeColor="text1"/>
                <w:sz w:val="24"/>
                <w:lang w:val="en-US" w:eastAsia="zh-CN"/>
              </w:rPr>
              <w:t xml:space="preserve">                   </w:t>
            </w:r>
            <w:r>
              <w:rPr>
                <w:rFonts w:hint="eastAsia" w:ascii="仿宋_GB2312" w:eastAsia="仿宋_GB2312"/>
                <w:color w:val="000000" w:themeColor="text1"/>
                <w:sz w:val="24"/>
              </w:rPr>
              <w:t>制作工艺：高清写真，一年内可移</w:t>
            </w:r>
          </w:p>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厚度：2mm</w:t>
            </w:r>
          </w:p>
          <w:p>
            <w:pPr>
              <w:adjustRightInd w:val="0"/>
              <w:snapToGrid w:val="0"/>
              <w:jc w:val="center"/>
              <w:rPr>
                <w:rFonts w:ascii="仿宋_GB2312" w:eastAsia="仿宋_GB2312"/>
                <w:color w:val="FF0000"/>
                <w:sz w:val="24"/>
              </w:rPr>
            </w:pPr>
            <w:r>
              <w:rPr>
                <w:rFonts w:hint="eastAsia" w:ascii="仿宋_GB2312" w:eastAsia="仿宋_GB2312"/>
                <w:color w:val="000000" w:themeColor="text1"/>
                <w:sz w:val="24"/>
              </w:rPr>
              <w:t>分类收集设施标志，应清晰、醒目和美观，具体尺寸可根据实际情况调整。</w:t>
            </w:r>
          </w:p>
        </w:tc>
        <w:tc>
          <w:tcPr>
            <w:tcW w:w="1399" w:type="dxa"/>
            <w:vAlign w:val="center"/>
          </w:tcPr>
          <w:p>
            <w:pPr>
              <w:adjustRightInd w:val="0"/>
              <w:snapToGrid w:val="0"/>
              <w:jc w:val="center"/>
              <w:rPr>
                <w:rFonts w:hint="default" w:ascii="仿宋_GB2312" w:eastAsia="仿宋_GB2312"/>
                <w:sz w:val="24"/>
                <w:lang w:val="en-US"/>
              </w:rPr>
            </w:pPr>
            <w:r>
              <w:rPr>
                <w:rFonts w:hint="eastAsia" w:ascii="仿宋_GB2312" w:eastAsia="仿宋_GB2312"/>
                <w:sz w:val="24"/>
                <w:highlight w:val="none"/>
                <w:lang w:val="en-US" w:eastAsia="zh-CN"/>
              </w:rPr>
              <w:t>520张（内容甲方审核)</w:t>
            </w:r>
          </w:p>
        </w:tc>
        <w:tc>
          <w:tcPr>
            <w:tcW w:w="2666" w:type="dxa"/>
          </w:tcPr>
          <w:p>
            <w:pPr>
              <w:adjustRightInd w:val="0"/>
              <w:snapToGrid w:val="0"/>
              <w:jc w:val="center"/>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page">
                    <wp:posOffset>149225</wp:posOffset>
                  </wp:positionH>
                  <wp:positionV relativeFrom="page">
                    <wp:posOffset>907415</wp:posOffset>
                  </wp:positionV>
                  <wp:extent cx="839470" cy="826770"/>
                  <wp:effectExtent l="0" t="0" r="17780" b="11430"/>
                  <wp:wrapSquare wrapText="bothSides"/>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6" cstate="print"/>
                          <a:stretch>
                            <a:fillRect/>
                          </a:stretch>
                        </pic:blipFill>
                        <pic:spPr>
                          <a:xfrm>
                            <a:off x="0" y="0"/>
                            <a:ext cx="839470" cy="826770"/>
                          </a:xfrm>
                          <a:prstGeom prst="rect">
                            <a:avLst/>
                          </a:prstGeom>
                          <a:noFill/>
                          <a:ln w="9525">
                            <a:noFill/>
                          </a:ln>
                        </pic:spPr>
                      </pic:pic>
                    </a:graphicData>
                  </a:graphic>
                </wp:anchor>
              </w:drawing>
            </w: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page">
                    <wp:posOffset>1078230</wp:posOffset>
                  </wp:positionH>
                  <wp:positionV relativeFrom="page">
                    <wp:posOffset>920750</wp:posOffset>
                  </wp:positionV>
                  <wp:extent cx="862965" cy="810895"/>
                  <wp:effectExtent l="0" t="0" r="13335" b="8255"/>
                  <wp:wrapSquare wrapText="bothSides"/>
                  <wp:docPr id="2" name="对象 11"/>
                  <wp:cNvGraphicFramePr/>
                  <a:graphic xmlns:a="http://schemas.openxmlformats.org/drawingml/2006/main">
                    <a:graphicData uri="http://schemas.openxmlformats.org/drawingml/2006/picture">
                      <pic:pic xmlns:pic="http://schemas.openxmlformats.org/drawingml/2006/picture">
                        <pic:nvPicPr>
                          <pic:cNvPr id="2" name="对象 11"/>
                          <pic:cNvPicPr/>
                        </pic:nvPicPr>
                        <pic:blipFill>
                          <a:blip r:embed="rId7" cstate="print"/>
                          <a:srcRect t="-160" r="-79" b="-160"/>
                          <a:stretch>
                            <a:fillRect/>
                          </a:stretch>
                        </pic:blipFill>
                        <pic:spPr>
                          <a:xfrm>
                            <a:off x="0" y="0"/>
                            <a:ext cx="862965" cy="810895"/>
                          </a:xfrm>
                          <a:prstGeom prst="rect">
                            <a:avLst/>
                          </a:prstGeom>
                          <a:noFill/>
                          <a:ln w="9525">
                            <a:noFill/>
                          </a:ln>
                        </pic:spPr>
                      </pic:pic>
                    </a:graphicData>
                  </a:graphic>
                </wp:anchor>
              </w:drawing>
            </w: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page">
                    <wp:posOffset>1078230</wp:posOffset>
                  </wp:positionH>
                  <wp:positionV relativeFrom="page">
                    <wp:posOffset>13335</wp:posOffset>
                  </wp:positionV>
                  <wp:extent cx="974725" cy="850265"/>
                  <wp:effectExtent l="0" t="0" r="15875" b="6985"/>
                  <wp:wrapSquare wrapText="bothSides"/>
                  <wp:docPr id="1" name="图片 11"/>
                  <wp:cNvGraphicFramePr/>
                  <a:graphic xmlns:a="http://schemas.openxmlformats.org/drawingml/2006/main">
                    <a:graphicData uri="http://schemas.openxmlformats.org/drawingml/2006/picture">
                      <pic:pic xmlns:pic="http://schemas.openxmlformats.org/drawingml/2006/picture">
                        <pic:nvPicPr>
                          <pic:cNvPr id="1" name="图片 11"/>
                          <pic:cNvPicPr/>
                        </pic:nvPicPr>
                        <pic:blipFill>
                          <a:blip r:embed="rId8" cstate="print"/>
                          <a:srcRect t="-160" r="-79" b="-160"/>
                          <a:stretch>
                            <a:fillRect/>
                          </a:stretch>
                        </pic:blipFill>
                        <pic:spPr>
                          <a:xfrm>
                            <a:off x="0" y="0"/>
                            <a:ext cx="974725" cy="850265"/>
                          </a:xfrm>
                          <a:prstGeom prst="rect">
                            <a:avLst/>
                          </a:prstGeom>
                          <a:noFill/>
                          <a:ln w="9525">
                            <a:noFill/>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page">
                    <wp:posOffset>52705</wp:posOffset>
                  </wp:positionH>
                  <wp:positionV relativeFrom="page">
                    <wp:posOffset>13335</wp:posOffset>
                  </wp:positionV>
                  <wp:extent cx="934720" cy="842645"/>
                  <wp:effectExtent l="0" t="0" r="17780" b="14605"/>
                  <wp:wrapSquare wrapText="bothSides"/>
                  <wp:docPr id="18" name="图片 10"/>
                  <wp:cNvGraphicFramePr/>
                  <a:graphic xmlns:a="http://schemas.openxmlformats.org/drawingml/2006/main">
                    <a:graphicData uri="http://schemas.openxmlformats.org/drawingml/2006/picture">
                      <pic:pic xmlns:pic="http://schemas.openxmlformats.org/drawingml/2006/picture">
                        <pic:nvPicPr>
                          <pic:cNvPr id="18" name="图片 10"/>
                          <pic:cNvPicPr/>
                        </pic:nvPicPr>
                        <pic:blipFill>
                          <a:blip r:embed="rId9" cstate="print"/>
                          <a:srcRect t="-160" r="-79" b="-160"/>
                          <a:stretch>
                            <a:fillRect/>
                          </a:stretch>
                        </pic:blipFill>
                        <pic:spPr>
                          <a:xfrm>
                            <a:off x="0" y="0"/>
                            <a:ext cx="934720" cy="842645"/>
                          </a:xfrm>
                          <a:prstGeom prst="rect">
                            <a:avLst/>
                          </a:prstGeom>
                          <a:noFill/>
                          <a:ln w="9525">
                            <a:noFill/>
                          </a:ln>
                        </pic:spPr>
                      </pic:pic>
                    </a:graphicData>
                  </a:graphic>
                </wp:anchor>
              </w:drawing>
            </w:r>
          </w:p>
          <w:p>
            <w:pPr>
              <w:adjustRightInd w:val="0"/>
              <w:snapToGrid w:val="0"/>
              <w:jc w:val="center"/>
              <w:rPr>
                <w:rFonts w:ascii="仿宋" w:hAnsi="仿宋" w:eastAsia="仿宋"/>
                <w:sz w:val="32"/>
                <w:szCs w:val="32"/>
              </w:rPr>
            </w:pPr>
            <w:r>
              <w:rPr>
                <w:rFonts w:ascii="仿宋" w:hAnsi="仿宋" w:eastAsia="仿宋"/>
                <w:sz w:val="32"/>
                <w:szCs w:val="32"/>
              </w:rPr>
              <w:drawing>
                <wp:inline distT="0" distB="0" distL="114300" distR="114300">
                  <wp:extent cx="1912620" cy="447675"/>
                  <wp:effectExtent l="0" t="0" r="11430" b="9525"/>
                  <wp:docPr id="8" name="图片 2" descr="QQ截图2015102718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QQ截图20151027183245"/>
                          <pic:cNvPicPr>
                            <a:picLocks noChangeAspect="1"/>
                          </pic:cNvPicPr>
                        </pic:nvPicPr>
                        <pic:blipFill>
                          <a:blip r:embed="rId10" cstate="print"/>
                          <a:stretch>
                            <a:fillRect/>
                          </a:stretch>
                        </pic:blipFill>
                        <pic:spPr>
                          <a:xfrm>
                            <a:off x="0" y="0"/>
                            <a:ext cx="1932026" cy="452462"/>
                          </a:xfrm>
                          <a:prstGeom prst="rect">
                            <a:avLst/>
                          </a:prstGeom>
                          <a:noFill/>
                          <a:ln w="9525">
                            <a:noFill/>
                          </a:ln>
                        </pic:spPr>
                      </pic:pic>
                    </a:graphicData>
                  </a:graphic>
                </wp:inline>
              </w:drawing>
            </w:r>
          </w:p>
        </w:tc>
        <w:tc>
          <w:tcPr>
            <w:tcW w:w="1470" w:type="dxa"/>
          </w:tcPr>
          <w:p>
            <w:pPr>
              <w:adjustRightInd w:val="0"/>
              <w:snapToGrid w:val="0"/>
              <w:jc w:val="center"/>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10</w:t>
            </w:r>
          </w:p>
        </w:tc>
        <w:tc>
          <w:tcPr>
            <w:tcW w:w="1185" w:type="dxa"/>
          </w:tcPr>
          <w:p>
            <w:pPr>
              <w:adjustRightInd w:val="0"/>
              <w:snapToGrid w:val="0"/>
              <w:jc w:val="center"/>
              <w:rPr>
                <w:rFonts w:hint="eastAsia" w:ascii="仿宋_GB2312" w:eastAsia="仿宋_GB2312"/>
                <w:color w:val="000000" w:themeColor="text1"/>
                <w:sz w:val="24"/>
                <w:lang w:val="en-US" w:eastAsia="zh-CN"/>
              </w:rPr>
            </w:pPr>
            <w:r>
              <w:rPr>
                <w:rFonts w:hint="eastAsia" w:ascii="仿宋_GB2312" w:eastAsia="仿宋_GB2312"/>
                <w:color w:val="000000" w:themeColor="text1"/>
                <w:sz w:val="24"/>
                <w:lang w:val="en-US" w:eastAsia="zh-CN"/>
              </w:rPr>
              <w:t>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485" w:type="dxa"/>
            <w:vAlign w:val="center"/>
          </w:tcPr>
          <w:p>
            <w:pPr>
              <w:adjustRightInd w:val="0"/>
              <w:snapToGrid w:val="0"/>
              <w:jc w:val="center"/>
              <w:rPr>
                <w:rFonts w:hint="eastAsia" w:ascii="仿宋_GB2312" w:eastAsia="仿宋_GB2312"/>
                <w:sz w:val="24"/>
                <w:lang w:eastAsia="zh-CN"/>
              </w:rPr>
            </w:pPr>
            <w:r>
              <w:rPr>
                <w:rFonts w:hint="eastAsia" w:ascii="仿宋_GB2312" w:eastAsia="仿宋_GB2312"/>
                <w:sz w:val="24"/>
                <w:lang w:val="en-US" w:eastAsia="zh-CN"/>
              </w:rPr>
              <w:t>3</w:t>
            </w:r>
          </w:p>
        </w:tc>
        <w:tc>
          <w:tcPr>
            <w:tcW w:w="1134"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脚踏式四分类垃圾桶</w:t>
            </w:r>
          </w:p>
        </w:tc>
        <w:tc>
          <w:tcPr>
            <w:tcW w:w="2426" w:type="dxa"/>
            <w:vAlign w:val="center"/>
          </w:tcPr>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外桶材质：201不锈钢（厚度：1.5mm）；</w:t>
            </w:r>
          </w:p>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长*宽*高：640mm*290mm*690mm</w:t>
            </w:r>
          </w:p>
          <w:p>
            <w:pPr>
              <w:adjustRightInd w:val="0"/>
              <w:snapToGrid w:val="0"/>
              <w:jc w:val="center"/>
              <w:rPr>
                <w:rFonts w:ascii="仿宋_GB2312" w:eastAsia="仿宋_GB2312"/>
                <w:color w:val="000000" w:themeColor="text1"/>
                <w:sz w:val="24"/>
              </w:rPr>
            </w:pPr>
            <w:r>
              <w:rPr>
                <w:rFonts w:hint="eastAsia" w:ascii="仿宋_GB2312" w:eastAsia="仿宋_GB2312"/>
                <w:color w:val="000000" w:themeColor="text1"/>
                <w:sz w:val="24"/>
              </w:rPr>
              <w:t>容量：30L（单类）</w:t>
            </w:r>
          </w:p>
          <w:p>
            <w:pPr>
              <w:adjustRightInd w:val="0"/>
              <w:snapToGrid w:val="0"/>
              <w:jc w:val="center"/>
              <w:rPr>
                <w:rFonts w:ascii="仿宋_GB2312" w:eastAsia="仿宋_GB2312"/>
                <w:color w:val="FF0000"/>
                <w:sz w:val="24"/>
              </w:rPr>
            </w:pPr>
            <w:r>
              <w:rPr>
                <w:rFonts w:hint="eastAsia" w:ascii="仿宋_GB2312" w:eastAsia="仿宋_GB2312"/>
                <w:color w:val="000000" w:themeColor="text1"/>
                <w:sz w:val="24"/>
              </w:rPr>
              <w:t>垃圾桶表面光滑平整，无波纹、黑点、杂质、气泡和裂纹。正常使用1年内，垃圾桶不产生变形或开裂。</w:t>
            </w:r>
          </w:p>
        </w:tc>
        <w:tc>
          <w:tcPr>
            <w:tcW w:w="1399" w:type="dxa"/>
            <w:vAlign w:val="center"/>
          </w:tcPr>
          <w:p>
            <w:pPr>
              <w:adjustRightInd w:val="0"/>
              <w:snapToGrid w:val="0"/>
              <w:jc w:val="center"/>
              <w:rPr>
                <w:rFonts w:hint="eastAsia" w:ascii="仿宋_GB2312" w:eastAsia="仿宋_GB2312"/>
                <w:sz w:val="24"/>
                <w:highlight w:val="none"/>
                <w:lang w:eastAsia="zh-CN"/>
              </w:rPr>
            </w:pPr>
            <w:r>
              <w:rPr>
                <w:rFonts w:hint="eastAsia" w:ascii="仿宋_GB2312" w:eastAsia="仿宋_GB2312"/>
                <w:sz w:val="24"/>
                <w:highlight w:val="none"/>
                <w:lang w:val="en-US" w:eastAsia="zh-CN"/>
              </w:rPr>
              <w:t>7</w:t>
            </w:r>
            <w:r>
              <w:rPr>
                <w:rFonts w:hint="eastAsia" w:ascii="仿宋_GB2312" w:eastAsia="仿宋_GB2312"/>
                <w:sz w:val="24"/>
                <w:highlight w:val="none"/>
              </w:rPr>
              <w:t>组</w:t>
            </w:r>
            <w:r>
              <w:rPr>
                <w:rFonts w:hint="eastAsia" w:ascii="仿宋_GB2312" w:eastAsia="仿宋_GB2312"/>
                <w:sz w:val="24"/>
                <w:highlight w:val="none"/>
                <w:lang w:eastAsia="zh-CN"/>
              </w:rPr>
              <w:t>（每组</w:t>
            </w:r>
            <w:r>
              <w:rPr>
                <w:rFonts w:hint="eastAsia" w:ascii="仿宋_GB2312" w:eastAsia="仿宋_GB2312"/>
                <w:sz w:val="24"/>
                <w:highlight w:val="none"/>
                <w:lang w:val="en-US" w:eastAsia="zh-CN"/>
              </w:rPr>
              <w:t>4个</w:t>
            </w:r>
            <w:r>
              <w:rPr>
                <w:rFonts w:hint="eastAsia" w:ascii="仿宋_GB2312" w:eastAsia="仿宋_GB2312"/>
                <w:sz w:val="24"/>
                <w:highlight w:val="none"/>
                <w:lang w:eastAsia="zh-CN"/>
              </w:rPr>
              <w:t>）</w:t>
            </w:r>
          </w:p>
        </w:tc>
        <w:tc>
          <w:tcPr>
            <w:tcW w:w="2666" w:type="dxa"/>
          </w:tcPr>
          <w:p>
            <w:pPr>
              <w:adjustRightInd w:val="0"/>
              <w:snapToGrid w:val="0"/>
              <w:jc w:val="center"/>
              <w:rPr>
                <w:rFonts w:ascii="仿宋" w:hAnsi="仿宋" w:eastAsia="仿宋"/>
                <w:sz w:val="32"/>
                <w:szCs w:val="32"/>
              </w:rPr>
            </w:pPr>
          </w:p>
          <w:p>
            <w:pPr>
              <w:jc w:val="center"/>
            </w:pPr>
            <w:r>
              <w:rPr>
                <w:rFonts w:hint="eastAsia"/>
              </w:rPr>
              <w:drawing>
                <wp:inline distT="0" distB="0" distL="114300" distR="114300">
                  <wp:extent cx="1791335" cy="1343660"/>
                  <wp:effectExtent l="0" t="0" r="18415" b="8890"/>
                  <wp:docPr id="5" name="图片 3" descr="49b81df4f5464bbf326b6e98a9704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9b81df4f5464bbf326b6e98a9704d2"/>
                          <pic:cNvPicPr>
                            <a:picLocks noChangeAspect="1"/>
                          </pic:cNvPicPr>
                        </pic:nvPicPr>
                        <pic:blipFill>
                          <a:blip r:embed="rId11" cstate="print"/>
                          <a:stretch>
                            <a:fillRect/>
                          </a:stretch>
                        </pic:blipFill>
                        <pic:spPr>
                          <a:xfrm>
                            <a:off x="0" y="0"/>
                            <a:ext cx="1805834" cy="1354597"/>
                          </a:xfrm>
                          <a:prstGeom prst="rect">
                            <a:avLst/>
                          </a:prstGeom>
                        </pic:spPr>
                      </pic:pic>
                    </a:graphicData>
                  </a:graphic>
                </wp:inline>
              </w:drawing>
            </w:r>
          </w:p>
        </w:tc>
        <w:tc>
          <w:tcPr>
            <w:tcW w:w="1470" w:type="dxa"/>
          </w:tcPr>
          <w:p>
            <w:pPr>
              <w:jc w:val="center"/>
              <w:rPr>
                <w:rFonts w:hint="eastAsia" w:eastAsia="宋体"/>
                <w:lang w:val="en-US" w:eastAsia="zh-CN"/>
              </w:rPr>
            </w:pPr>
            <w:r>
              <w:rPr>
                <w:rFonts w:hint="eastAsia"/>
                <w:lang w:val="en-US" w:eastAsia="zh-CN"/>
              </w:rPr>
              <w:t>2350</w:t>
            </w:r>
          </w:p>
        </w:tc>
        <w:tc>
          <w:tcPr>
            <w:tcW w:w="1185" w:type="dxa"/>
          </w:tcPr>
          <w:p>
            <w:pPr>
              <w:jc w:val="center"/>
              <w:rPr>
                <w:rFonts w:hint="eastAsia" w:eastAsia="宋体"/>
                <w:lang w:val="en-US" w:eastAsia="zh-CN"/>
              </w:rPr>
            </w:pPr>
            <w:r>
              <w:rPr>
                <w:rFonts w:hint="eastAsia"/>
                <w:lang w:val="en-US" w:eastAsia="zh-CN"/>
              </w:rPr>
              <w:t>16450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9580" w:type="dxa"/>
            <w:gridSpan w:val="6"/>
            <w:vAlign w:val="center"/>
          </w:tcPr>
          <w:p>
            <w:pPr>
              <w:adjustRightInd w:val="0"/>
              <w:snapToGrid w:val="0"/>
              <w:jc w:val="center"/>
              <w:rPr>
                <w:rFonts w:hint="eastAsia" w:ascii="仿宋_GB2312" w:eastAsia="仿宋_GB2312"/>
                <w:sz w:val="24"/>
                <w:lang w:val="en-US" w:eastAsia="zh-CN"/>
              </w:rPr>
            </w:pPr>
            <w:r>
              <w:rPr>
                <w:rFonts w:hint="eastAsia" w:ascii="仿宋_GB2312" w:eastAsia="仿宋_GB2312"/>
                <w:sz w:val="24"/>
                <w:lang w:val="en-US" w:eastAsia="zh-CN"/>
              </w:rPr>
              <w:t>小计</w:t>
            </w:r>
          </w:p>
        </w:tc>
        <w:tc>
          <w:tcPr>
            <w:tcW w:w="1185" w:type="dxa"/>
          </w:tcPr>
          <w:p>
            <w:pPr>
              <w:adjustRightInd w:val="0"/>
              <w:snapToGrid w:val="0"/>
              <w:jc w:val="center"/>
              <w:rPr>
                <w:rFonts w:hint="eastAsia" w:ascii="仿宋_GB2312" w:eastAsia="仿宋_GB2312"/>
                <w:sz w:val="24"/>
                <w:lang w:val="en-US" w:eastAsia="zh-CN"/>
              </w:rPr>
            </w:pPr>
            <w:r>
              <w:rPr>
                <w:rFonts w:hint="eastAsia" w:ascii="仿宋_GB2312" w:eastAsia="仿宋_GB2312"/>
                <w:sz w:val="24"/>
                <w:lang w:val="en-US" w:eastAsia="zh-CN"/>
              </w:rPr>
              <w:t>27650</w:t>
            </w:r>
          </w:p>
        </w:tc>
      </w:tr>
    </w:tbl>
    <w:p>
      <w:pPr>
        <w:spacing w:line="572" w:lineRule="exact"/>
        <w:ind w:firstLine="600" w:firstLineChars="200"/>
        <w:jc w:val="left"/>
        <w:rPr>
          <w:rFonts w:hint="eastAsia" w:ascii="仿宋" w:hAnsi="仿宋" w:eastAsia="仿宋"/>
          <w:color w:val="000000" w:themeColor="text1"/>
          <w:sz w:val="28"/>
          <w:szCs w:val="28"/>
          <w:highlight w:val="none"/>
        </w:rPr>
      </w:pPr>
      <w:r>
        <w:rPr>
          <w:rFonts w:hint="eastAsia" w:ascii="仿宋_GB2312" w:eastAsia="仿宋_GB2312"/>
          <w:color w:val="000000"/>
          <w:sz w:val="30"/>
          <w:szCs w:val="30"/>
          <w:highlight w:val="none"/>
        </w:rPr>
        <w:t>注</w:t>
      </w:r>
      <w:r>
        <w:rPr>
          <w:rFonts w:hint="eastAsia" w:ascii="仿宋" w:hAnsi="仿宋" w:eastAsia="仿宋"/>
          <w:color w:val="000000" w:themeColor="text1"/>
          <w:sz w:val="28"/>
          <w:szCs w:val="28"/>
          <w:highlight w:val="none"/>
        </w:rPr>
        <w:t>：①供应商提供产品的款式、材质、规格必须与本文件的规定基本一致（垃圾桶外观尺寸可以上浮0-30mm）。</w:t>
      </w:r>
    </w:p>
    <w:p>
      <w:pPr>
        <w:spacing w:line="572" w:lineRule="exact"/>
        <w:ind w:firstLine="560" w:firstLineChars="200"/>
        <w:jc w:val="left"/>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②本项目要求产品不得含有国家明令禁止的有毒材料，要符合国家相关安全和环保标准要求。</w:t>
      </w:r>
    </w:p>
    <w:p>
      <w:pPr>
        <w:spacing w:line="572" w:lineRule="exact"/>
        <w:ind w:firstLine="560" w:firstLineChars="200"/>
        <w:jc w:val="left"/>
        <w:rPr>
          <w:rFonts w:hint="eastAsia" w:ascii="仿宋" w:hAnsi="仿宋" w:eastAsia="仿宋"/>
          <w:color w:val="000000" w:themeColor="text1"/>
          <w:sz w:val="28"/>
          <w:szCs w:val="28"/>
          <w:highlight w:val="none"/>
          <w:lang w:eastAsia="zh-CN"/>
        </w:rPr>
      </w:pPr>
      <w:r>
        <w:rPr>
          <w:rFonts w:hint="eastAsia" w:ascii="仿宋" w:hAnsi="仿宋" w:eastAsia="仿宋"/>
          <w:color w:val="000000" w:themeColor="text1"/>
          <w:sz w:val="28"/>
          <w:szCs w:val="28"/>
          <w:highlight w:val="none"/>
        </w:rPr>
        <w:t>③供应商在提供产品的同时，需在规定工期内</w:t>
      </w:r>
      <w:r>
        <w:rPr>
          <w:rFonts w:hint="eastAsia" w:ascii="仿宋" w:hAnsi="仿宋" w:eastAsia="仿宋"/>
          <w:color w:val="000000" w:themeColor="text1"/>
          <w:sz w:val="28"/>
          <w:szCs w:val="28"/>
          <w:highlight w:val="none"/>
          <w:lang w:eastAsia="zh-CN"/>
        </w:rPr>
        <w:t>按甲方要求</w:t>
      </w:r>
      <w:r>
        <w:rPr>
          <w:rFonts w:hint="eastAsia" w:ascii="仿宋" w:hAnsi="仿宋" w:eastAsia="仿宋"/>
          <w:color w:val="000000" w:themeColor="text1"/>
          <w:sz w:val="28"/>
          <w:szCs w:val="28"/>
          <w:highlight w:val="none"/>
        </w:rPr>
        <w:t>将垃圾分类标识规范张贴在垃圾桶</w:t>
      </w:r>
      <w:r>
        <w:rPr>
          <w:rFonts w:hint="eastAsia" w:ascii="仿宋" w:hAnsi="仿宋" w:eastAsia="仿宋"/>
          <w:color w:val="000000" w:themeColor="text1"/>
          <w:sz w:val="28"/>
          <w:szCs w:val="28"/>
          <w:highlight w:val="none"/>
          <w:lang w:eastAsia="zh-CN"/>
        </w:rPr>
        <w:t>上</w:t>
      </w:r>
    </w:p>
    <w:p>
      <w:pPr>
        <w:spacing w:line="572" w:lineRule="exact"/>
        <w:ind w:firstLine="560" w:firstLineChars="200"/>
        <w:jc w:val="left"/>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④垃圾分类标识张贴完毕后须不影响垃圾桶的正常使用。</w:t>
      </w:r>
    </w:p>
    <w:p>
      <w:pPr>
        <w:snapToGrid w:val="0"/>
        <w:spacing w:line="420" w:lineRule="exact"/>
        <w:rPr>
          <w:rFonts w:ascii="仿宋" w:hAnsi="仿宋" w:eastAsia="仿宋"/>
          <w:b/>
          <w:sz w:val="28"/>
          <w:szCs w:val="28"/>
        </w:rPr>
      </w:pPr>
      <w:r>
        <w:rPr>
          <w:rFonts w:hint="eastAsia" w:ascii="仿宋" w:hAnsi="仿宋" w:eastAsia="仿宋"/>
          <w:b/>
          <w:sz w:val="28"/>
          <w:szCs w:val="28"/>
        </w:rPr>
        <w:t>5.质量保证及售后服务</w:t>
      </w:r>
    </w:p>
    <w:p>
      <w:pPr>
        <w:spacing w:line="500" w:lineRule="exact"/>
        <w:ind w:firstLine="557" w:firstLineChars="199"/>
        <w:rPr>
          <w:rFonts w:ascii="仿宋" w:hAnsi="仿宋" w:eastAsia="仿宋"/>
          <w:bCs/>
          <w:sz w:val="28"/>
          <w:szCs w:val="28"/>
        </w:rPr>
      </w:pPr>
      <w:r>
        <w:rPr>
          <w:rFonts w:hint="eastAsia" w:ascii="仿宋" w:hAnsi="仿宋" w:eastAsia="仿宋"/>
          <w:bCs/>
          <w:sz w:val="28"/>
          <w:szCs w:val="28"/>
        </w:rPr>
        <w:t>（一）产品质量保证期</w:t>
      </w:r>
    </w:p>
    <w:p>
      <w:pPr>
        <w:spacing w:line="572" w:lineRule="exact"/>
        <w:ind w:firstLine="560" w:firstLineChars="200"/>
        <w:rPr>
          <w:rFonts w:ascii="仿宋" w:hAnsi="仿宋" w:eastAsia="仿宋"/>
          <w:sz w:val="28"/>
          <w:szCs w:val="28"/>
        </w:rPr>
      </w:pPr>
      <w:r>
        <w:rPr>
          <w:rFonts w:hint="eastAsia" w:ascii="仿宋" w:hAnsi="仿宋" w:eastAsia="仿宋"/>
          <w:sz w:val="28"/>
          <w:szCs w:val="28"/>
        </w:rPr>
        <w:t>①材料品质保证：供方的主要材料必须有合格证或相关质检部门的检测报告。</w:t>
      </w:r>
    </w:p>
    <w:p>
      <w:pPr>
        <w:spacing w:line="572" w:lineRule="exact"/>
        <w:ind w:firstLine="560" w:firstLineChars="200"/>
        <w:rPr>
          <w:rFonts w:ascii="仿宋" w:hAnsi="仿宋" w:eastAsia="仿宋"/>
          <w:sz w:val="28"/>
          <w:szCs w:val="28"/>
        </w:rPr>
      </w:pPr>
      <w:r>
        <w:rPr>
          <w:rFonts w:hint="eastAsia" w:ascii="仿宋" w:hAnsi="仿宋" w:eastAsia="仿宋"/>
          <w:sz w:val="28"/>
          <w:szCs w:val="28"/>
        </w:rPr>
        <w:t>②</w:t>
      </w:r>
      <w:r>
        <w:rPr>
          <w:rFonts w:ascii="仿宋" w:hAnsi="仿宋" w:eastAsia="仿宋"/>
          <w:sz w:val="28"/>
          <w:szCs w:val="28"/>
        </w:rPr>
        <w:t>投标产品质量保证期不低于</w:t>
      </w:r>
      <w:r>
        <w:rPr>
          <w:rFonts w:hint="eastAsia" w:ascii="仿宋" w:hAnsi="仿宋" w:eastAsia="仿宋"/>
          <w:sz w:val="28"/>
          <w:szCs w:val="28"/>
        </w:rPr>
        <w:t>1</w:t>
      </w:r>
      <w:r>
        <w:rPr>
          <w:rFonts w:ascii="仿宋" w:hAnsi="仿宋" w:eastAsia="仿宋"/>
          <w:sz w:val="28"/>
          <w:szCs w:val="28"/>
        </w:rPr>
        <w:t>年</w:t>
      </w:r>
      <w:r>
        <w:rPr>
          <w:rFonts w:hint="eastAsia" w:ascii="仿宋" w:hAnsi="仿宋" w:eastAsia="仿宋"/>
          <w:sz w:val="28"/>
          <w:szCs w:val="28"/>
        </w:rPr>
        <w:t>，项目质保金在1年无质量问题后无息退还。</w:t>
      </w:r>
    </w:p>
    <w:p>
      <w:pPr>
        <w:spacing w:line="572"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③本项目验收由甲方统一对生活垃圾分类相关物资进行验收，若不达标，将无条件返工重做，至达到甲方要求为止。</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（二）售后服务内容</w:t>
      </w:r>
    </w:p>
    <w:p>
      <w:pPr>
        <w:snapToGrid w:val="0"/>
        <w:spacing w:line="500" w:lineRule="exact"/>
        <w:ind w:firstLine="560" w:firstLineChars="200"/>
        <w:rPr>
          <w:rFonts w:ascii="仿宋" w:hAnsi="仿宋" w:eastAsia="仿宋"/>
          <w:sz w:val="28"/>
          <w:szCs w:val="28"/>
        </w:rPr>
      </w:pPr>
      <w:r>
        <w:rPr>
          <w:rFonts w:ascii="仿宋" w:hAnsi="仿宋" w:eastAsia="仿宋"/>
          <w:sz w:val="28"/>
          <w:szCs w:val="28"/>
        </w:rPr>
        <w:t>投标供应商和制造商在质量保证期内应当为采购人提供以下技术支持和服务：</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1）电话咨询</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成交供应商和制造商应当为采购人提供技术援助电话，解答采购人在使用中遇到的问题，及时为采购人提出解决问题的建议。</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2）现场响应</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采购人遇到使用及技术问题，电话咨询不能解决的，成交供应商和制造商应在</w:t>
      </w:r>
      <w:r>
        <w:rPr>
          <w:rFonts w:ascii="仿宋" w:hAnsi="仿宋" w:eastAsia="仿宋"/>
          <w:sz w:val="28"/>
          <w:szCs w:val="28"/>
        </w:rPr>
        <w:t>12小时内到达现场进行处理，确保正常工作；无法在12小时内解决的，应在24小时内提供备用产品，使采购人能够正常使用。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）其他服务要求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成交供应商确实做到询价通知书中规定及投标文件所承诺的各项售后服务工作。成交货物提供例行免费培训。</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质保期外服务要求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1）质量保证期过后，供应商和制造商应同样提供免费电话咨询服务，并应承诺提供产品上门维护服务。</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2）质量保证期过后，采购人需要继续由原供应商和制造商提供售后服务的，该供应商和制造商应以优惠价格提供售后服务。</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（四）备品备件及易损件</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成交供应商和制造商售后服务中，维修使用的备品备件及易损件应为原厂配件，未经采购人同意不得使用非原厂配件。</w:t>
      </w:r>
    </w:p>
    <w:p>
      <w:pPr>
        <w:widowControl/>
        <w:spacing w:line="360" w:lineRule="auto"/>
        <w:ind w:firstLine="562" w:firstLineChars="200"/>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6.验收标准</w:t>
      </w:r>
    </w:p>
    <w:p>
      <w:pPr>
        <w:widowControl/>
        <w:spacing w:line="360" w:lineRule="auto"/>
        <w:ind w:firstLine="560" w:firstLineChars="200"/>
        <w:jc w:val="left"/>
        <w:rPr>
          <w:rFonts w:ascii="仿宋" w:hAnsi="仿宋" w:eastAsia="仿宋" w:cs="??_GB2312"/>
          <w:color w:val="000000" w:themeColor="text1"/>
          <w:sz w:val="28"/>
          <w:szCs w:val="28"/>
        </w:rPr>
      </w:pPr>
      <w:r>
        <w:rPr>
          <w:rFonts w:hint="eastAsia" w:ascii="仿宋" w:hAnsi="仿宋" w:eastAsia="仿宋" w:cs="??_GB2312"/>
          <w:color w:val="000000" w:themeColor="text1"/>
          <w:sz w:val="28"/>
          <w:szCs w:val="28"/>
        </w:rPr>
        <w:t>6.1本项目产品须响应</w:t>
      </w:r>
      <w:r>
        <w:rPr>
          <w:rFonts w:hint="eastAsia" w:ascii="仿宋" w:hAnsi="仿宋" w:eastAsia="仿宋"/>
          <w:color w:val="000000" w:themeColor="text1"/>
          <w:sz w:val="28"/>
          <w:szCs w:val="28"/>
          <w:shd w:val="clear" w:color="auto" w:fill="FFFFFF"/>
        </w:rPr>
        <w:t>国家标准</w:t>
      </w:r>
      <w:r>
        <w:rPr>
          <w:rFonts w:ascii="仿宋" w:hAnsi="仿宋" w:eastAsia="仿宋"/>
          <w:color w:val="000000" w:themeColor="text1"/>
          <w:sz w:val="28"/>
          <w:szCs w:val="28"/>
        </w:rPr>
        <w:t>G</w:t>
      </w:r>
      <w:r>
        <w:rPr>
          <w:rFonts w:ascii="仿宋" w:hAnsi="仿宋" w:eastAsia="仿宋"/>
          <w:sz w:val="28"/>
          <w:szCs w:val="28"/>
        </w:rPr>
        <w:t>B 27934.1-2011</w:t>
      </w:r>
      <w:r>
        <w:rPr>
          <w:rFonts w:hint="eastAsia" w:ascii="仿宋" w:hAnsi="仿宋" w:eastAsia="仿宋"/>
          <w:sz w:val="28"/>
          <w:szCs w:val="28"/>
        </w:rPr>
        <w:t>《</w:t>
      </w:r>
      <w:r>
        <w:rPr>
          <w:rFonts w:ascii="仿宋" w:hAnsi="仿宋" w:eastAsia="仿宋"/>
          <w:sz w:val="28"/>
          <w:szCs w:val="28"/>
        </w:rPr>
        <w:t>纸质印刷品覆膜过程控制及检测方法</w:t>
      </w:r>
      <w:r>
        <w:rPr>
          <w:rFonts w:hint="eastAsia" w:ascii="仿宋" w:hAnsi="仿宋" w:eastAsia="仿宋"/>
          <w:sz w:val="28"/>
          <w:szCs w:val="28"/>
        </w:rPr>
        <w:t>第1部分》、GB/T 27934.4-2011《纸质印刷品覆膜过程控制及检测方法 第4部分》、GB/T 2410《透明塑料透光率和雾度的测定》、GB/T10003-2008《普通用途双向拉伸聚丙烯（BOPP)薄膜》、《</w:t>
      </w:r>
      <w:r>
        <w:rPr>
          <w:rFonts w:ascii="仿宋" w:hAnsi="仿宋" w:eastAsia="仿宋"/>
          <w:sz w:val="28"/>
          <w:szCs w:val="28"/>
        </w:rPr>
        <w:t>不锈钢冷轧钢板和钢带</w:t>
      </w:r>
      <w:r>
        <w:rPr>
          <w:rFonts w:hint="eastAsia" w:ascii="仿宋" w:hAnsi="仿宋" w:eastAsia="仿宋"/>
          <w:sz w:val="28"/>
          <w:szCs w:val="28"/>
        </w:rPr>
        <w:t>》</w:t>
      </w:r>
      <w:r>
        <w:rPr>
          <w:rFonts w:ascii="仿宋" w:hAnsi="仿宋" w:eastAsia="仿宋"/>
          <w:sz w:val="28"/>
          <w:szCs w:val="28"/>
        </w:rPr>
        <w:t>GBT 3280-2007</w:t>
      </w:r>
      <w:r>
        <w:rPr>
          <w:rFonts w:hint="eastAsia" w:ascii="仿宋" w:hAnsi="仿宋" w:eastAsia="仿宋"/>
          <w:sz w:val="28"/>
          <w:szCs w:val="28"/>
        </w:rPr>
        <w:t>、《</w:t>
      </w:r>
      <w:r>
        <w:rPr>
          <w:rFonts w:ascii="仿宋" w:hAnsi="仿宋" w:eastAsia="仿宋"/>
          <w:sz w:val="28"/>
          <w:szCs w:val="28"/>
        </w:rPr>
        <w:t>不锈钢热轧钢板</w:t>
      </w:r>
      <w:r>
        <w:rPr>
          <w:rFonts w:hint="eastAsia" w:ascii="仿宋" w:hAnsi="仿宋" w:eastAsia="仿宋"/>
          <w:sz w:val="28"/>
          <w:szCs w:val="28"/>
        </w:rPr>
        <w:t>》</w:t>
      </w:r>
      <w:r>
        <w:rPr>
          <w:rFonts w:ascii="仿宋" w:hAnsi="仿宋" w:eastAsia="仿宋"/>
          <w:sz w:val="28"/>
          <w:szCs w:val="28"/>
        </w:rPr>
        <w:t>GBT4237-2007</w:t>
      </w:r>
      <w:r>
        <w:rPr>
          <w:rFonts w:hint="eastAsia" w:ascii="仿宋" w:hAnsi="仿宋" w:eastAsia="仿宋"/>
          <w:sz w:val="28"/>
          <w:szCs w:val="28"/>
        </w:rPr>
        <w:t>、《</w:t>
      </w:r>
      <w:r>
        <w:rPr>
          <w:rFonts w:ascii="仿宋" w:hAnsi="仿宋" w:eastAsia="仿宋"/>
          <w:sz w:val="28"/>
          <w:szCs w:val="28"/>
        </w:rPr>
        <w:t>不锈钢耐热钢牌号及化学成分</w:t>
      </w:r>
      <w:r>
        <w:rPr>
          <w:rFonts w:hint="eastAsia" w:ascii="仿宋" w:hAnsi="仿宋" w:eastAsia="仿宋"/>
          <w:sz w:val="28"/>
          <w:szCs w:val="28"/>
        </w:rPr>
        <w:t>》</w:t>
      </w:r>
      <w:r>
        <w:rPr>
          <w:rFonts w:ascii="仿宋" w:hAnsi="仿宋" w:eastAsia="仿宋"/>
          <w:sz w:val="28"/>
          <w:szCs w:val="28"/>
        </w:rPr>
        <w:t>GBT20878-2007</w:t>
      </w:r>
      <w:r>
        <w:rPr>
          <w:rFonts w:hint="eastAsia" w:ascii="仿宋" w:hAnsi="仿宋" w:eastAsia="仿宋"/>
          <w:color w:val="000000" w:themeColor="text1"/>
          <w:sz w:val="28"/>
          <w:szCs w:val="28"/>
          <w:shd w:val="clear" w:color="auto" w:fill="FFFFFF"/>
        </w:rPr>
        <w:t>中的相关规定</w:t>
      </w:r>
      <w:r>
        <w:rPr>
          <w:rFonts w:hint="eastAsia" w:ascii="仿宋" w:hAnsi="仿宋" w:eastAsia="仿宋" w:cs="??_GB2312"/>
          <w:color w:val="000000" w:themeColor="text1"/>
          <w:sz w:val="28"/>
          <w:szCs w:val="28"/>
        </w:rPr>
        <w:t>。</w:t>
      </w:r>
    </w:p>
    <w:p>
      <w:pPr>
        <w:spacing w:line="572" w:lineRule="exact"/>
        <w:ind w:firstLine="560" w:firstLineChars="200"/>
        <w:rPr>
          <w:rFonts w:ascii="仿宋_GB2312" w:eastAsia="仿宋_GB2312"/>
          <w:color w:val="000000" w:themeColor="text1"/>
          <w:sz w:val="30"/>
          <w:szCs w:val="30"/>
        </w:rPr>
      </w:pPr>
      <w:r>
        <w:rPr>
          <w:rFonts w:hint="eastAsia" w:ascii="仿宋" w:hAnsi="仿宋" w:eastAsia="仿宋"/>
          <w:color w:val="000000" w:themeColor="text1"/>
          <w:sz w:val="28"/>
          <w:szCs w:val="28"/>
        </w:rPr>
        <w:t>6.2验收方式：采购项目由采购人按有关规定自行组织验收，</w:t>
      </w:r>
      <w:r>
        <w:rPr>
          <w:rFonts w:ascii="仿宋" w:hAnsi="仿宋" w:eastAsia="仿宋"/>
          <w:color w:val="000000" w:themeColor="text1"/>
          <w:sz w:val="28"/>
          <w:szCs w:val="28"/>
        </w:rPr>
        <w:t>采购人有权拒绝</w:t>
      </w:r>
      <w:r>
        <w:rPr>
          <w:rFonts w:hint="eastAsia" w:ascii="仿宋" w:hAnsi="仿宋" w:eastAsia="仿宋"/>
          <w:color w:val="000000" w:themeColor="text1"/>
          <w:sz w:val="28"/>
          <w:szCs w:val="28"/>
        </w:rPr>
        <w:t>接受低于标书标准的产品或者安装有任何技术缺陷的产品并要求供应商赔偿。</w:t>
      </w:r>
    </w:p>
    <w:p>
      <w:pPr>
        <w:snapToGrid w:val="0"/>
        <w:spacing w:line="420" w:lineRule="exact"/>
        <w:ind w:firstLine="562" w:firstLineChars="200"/>
        <w:rPr>
          <w:rFonts w:ascii="仿宋" w:hAnsi="仿宋" w:eastAsia="仿宋"/>
          <w:b/>
          <w:sz w:val="28"/>
          <w:szCs w:val="28"/>
        </w:rPr>
      </w:pPr>
      <w:r>
        <w:rPr>
          <w:rFonts w:hint="eastAsia" w:ascii="仿宋" w:hAnsi="仿宋" w:eastAsia="仿宋"/>
          <w:b/>
          <w:sz w:val="28"/>
          <w:szCs w:val="28"/>
        </w:rPr>
        <w:t>7.安全管理措施</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7.1安装安全标准：必须满足安全文明安装相关标准。</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7.2对所有人员须进行入场安全教育，安全教育必须有本人的签字。相关人员（安全员、监护人等）并提供相关的有效证件。如安装方中途更换人员，须告之甲方相关部门。</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7.3作业前，必须按照重庆机场</w:t>
      </w:r>
      <w:r>
        <w:rPr>
          <w:rFonts w:hint="eastAsia" w:ascii="仿宋" w:hAnsi="仿宋" w:eastAsia="仿宋"/>
          <w:color w:val="000000"/>
          <w:sz w:val="28"/>
          <w:szCs w:val="28"/>
          <w:highlight w:val="none"/>
          <w:lang w:eastAsia="zh-CN"/>
        </w:rPr>
        <w:t>物流园区管理委员会</w:t>
      </w:r>
      <w:r>
        <w:rPr>
          <w:rFonts w:hint="eastAsia" w:ascii="仿宋" w:hAnsi="仿宋" w:eastAsia="仿宋"/>
          <w:color w:val="000000"/>
          <w:sz w:val="28"/>
          <w:szCs w:val="28"/>
          <w:highlight w:val="none"/>
        </w:rPr>
        <w:t>相</w:t>
      </w:r>
      <w:r>
        <w:rPr>
          <w:rFonts w:hint="eastAsia" w:ascii="仿宋" w:hAnsi="仿宋" w:eastAsia="仿宋"/>
          <w:color w:val="000000"/>
          <w:sz w:val="28"/>
          <w:szCs w:val="28"/>
        </w:rPr>
        <w:t>关安装规定办理安装手续等，并在有效期进行作业。</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7.4安装前，应进行作业前的专项安全技术教育及交底，落实所有安全技术措施和人身防护用品，未经落实时不得进行安装。 </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7.5进入安装现场，所有人员须穿好工作服，正确佩戴安全帽，严禁酒后作业。</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7.6安装区域，设立明显的安全标志、标识牌和警戒线作好隔离，使安装区域一目了然，材料、工具等要堆放有序。</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7.7机具进场前应由相关部门的专业技术人员验收合格后才允许使用。</w:t>
      </w:r>
    </w:p>
    <w:p>
      <w:pPr>
        <w:spacing w:line="492" w:lineRule="exact"/>
        <w:ind w:firstLine="560" w:firstLineChars="200"/>
        <w:rPr>
          <w:rFonts w:ascii="仿宋_GB2312" w:eastAsia="仿宋_GB2312"/>
          <w:color w:val="000000"/>
          <w:sz w:val="30"/>
          <w:szCs w:val="30"/>
        </w:rPr>
      </w:pPr>
      <w:r>
        <w:rPr>
          <w:rFonts w:hint="eastAsia" w:ascii="仿宋" w:hAnsi="仿宋" w:eastAsia="仿宋"/>
          <w:color w:val="000000"/>
          <w:sz w:val="28"/>
          <w:szCs w:val="28"/>
        </w:rPr>
        <w:t>7.8每天安装完毕后，材料、工具应收回库房或指定地点，清理安装现场，并按照甲方管理办法保持场地整洁。</w:t>
      </w:r>
    </w:p>
    <w:p>
      <w:pPr>
        <w:snapToGrid w:val="0"/>
        <w:spacing w:line="420" w:lineRule="exact"/>
        <w:ind w:firstLine="562" w:firstLineChars="200"/>
        <w:rPr>
          <w:rFonts w:ascii="仿宋" w:hAnsi="仿宋" w:eastAsia="仿宋"/>
          <w:b/>
          <w:sz w:val="28"/>
          <w:szCs w:val="28"/>
        </w:rPr>
      </w:pPr>
      <w:r>
        <w:rPr>
          <w:rFonts w:hint="eastAsia" w:ascii="仿宋" w:hAnsi="仿宋" w:eastAsia="仿宋"/>
          <w:b/>
          <w:sz w:val="28"/>
          <w:szCs w:val="28"/>
        </w:rPr>
        <w:t xml:space="preserve">8.应急处置措施 </w:t>
      </w:r>
    </w:p>
    <w:p>
      <w:pPr>
        <w:spacing w:line="49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8.1安装前应了解安装地附近的医院、医疗设施和救护能力，联系电话等。</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8.2安装现场一旦发生安全事故，应立即报告</w:t>
      </w:r>
      <w:r>
        <w:rPr>
          <w:rFonts w:hint="eastAsia" w:ascii="仿宋" w:hAnsi="仿宋" w:eastAsia="仿宋"/>
          <w:sz w:val="28"/>
          <w:szCs w:val="28"/>
        </w:rPr>
        <w:t>业主单位以及</w:t>
      </w:r>
      <w:r>
        <w:rPr>
          <w:rFonts w:hint="eastAsia" w:ascii="仿宋" w:hAnsi="仿宋" w:eastAsia="仿宋"/>
          <w:color w:val="000000"/>
          <w:sz w:val="28"/>
          <w:szCs w:val="28"/>
        </w:rPr>
        <w:t>项目经理和安全员，并以最快速度组织施救活动。</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8.3在组织现场施救的同时，安全员应安排人员对救治现场封闭警戒，并保护好事故现场，以便事后调查分析。</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8.4应急救援抢救小组须立即赶赴现场组织协调，全力抢救，必要时及时与外部相关方联络。</w:t>
      </w:r>
      <w:r>
        <w:rPr>
          <w:rFonts w:hint="eastAsia" w:ascii="仿宋" w:hAnsi="仿宋" w:eastAsia="仿宋"/>
          <w:color w:val="000000"/>
          <w:sz w:val="28"/>
          <w:szCs w:val="28"/>
        </w:rPr>
        <w:tab/>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8.5事故处理后，项目部应急救援预案小组应对事故原因进行调查分析。形成“安装调查报告”，并针对导致事故原因，制定和组织采取纠正措施。</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8.6加强岗前和运行中的安全教育、培训工作，使所有员工增强自我保护意识。</w:t>
      </w:r>
    </w:p>
    <w:p>
      <w:pPr>
        <w:snapToGrid w:val="0"/>
        <w:spacing w:line="420" w:lineRule="exact"/>
        <w:ind w:firstLine="562" w:firstLineChars="200"/>
        <w:rPr>
          <w:rFonts w:ascii="仿宋" w:hAnsi="仿宋" w:eastAsia="仿宋"/>
          <w:b/>
          <w:sz w:val="28"/>
          <w:szCs w:val="28"/>
        </w:rPr>
      </w:pPr>
      <w:r>
        <w:rPr>
          <w:rFonts w:hint="eastAsia" w:ascii="仿宋" w:hAnsi="仿宋" w:eastAsia="仿宋"/>
          <w:b/>
          <w:sz w:val="28"/>
          <w:szCs w:val="28"/>
        </w:rPr>
        <w:t>9.环境保护措施</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9.1配备足够的安装废弃物回收工具和回收桶。</w:t>
      </w:r>
    </w:p>
    <w:p>
      <w:pPr>
        <w:spacing w:line="572"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9.2每道工序完工后，做到工完、料尽、场地清，随时保持场地的清洁。</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9.3安装中最大程度保证安装对环境的影响降到最低。</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二、合格报价供应商：</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1.必须开具增值税专用发票。具有与本</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文件要求相适应的维修能力，包括供应能力、售后服务能力和安装能力的生产厂家或经营商。</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响应单位必须具备：</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1.1营业执照、公司资质等；</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1.2法定代表人授权书；</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1.3法定代表人身份证复印件和被授权人身份证复印件；</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1.4售后服务承诺书；</w:t>
      </w:r>
    </w:p>
    <w:p>
      <w:pPr>
        <w:spacing w:line="360" w:lineRule="auto"/>
        <w:rPr>
          <w:rFonts w:ascii="仿宋" w:hAnsi="仿宋" w:eastAsia="仿宋"/>
          <w:b/>
          <w:bCs/>
          <w:color w:val="000000"/>
          <w:sz w:val="28"/>
          <w:szCs w:val="28"/>
        </w:rPr>
      </w:pPr>
      <w:r>
        <w:rPr>
          <w:rFonts w:hint="eastAsia" w:ascii="仿宋" w:hAnsi="仿宋" w:eastAsia="仿宋"/>
          <w:b/>
          <w:color w:val="000000"/>
          <w:sz w:val="28"/>
          <w:szCs w:val="28"/>
        </w:rPr>
        <w:t>三、</w:t>
      </w:r>
      <w:r>
        <w:rPr>
          <w:rFonts w:hint="eastAsia" w:ascii="仿宋" w:hAnsi="仿宋" w:eastAsia="仿宋"/>
          <w:b/>
          <w:bCs/>
          <w:color w:val="000000"/>
          <w:sz w:val="28"/>
          <w:szCs w:val="28"/>
        </w:rPr>
        <w:t>成交标准：</w:t>
      </w:r>
    </w:p>
    <w:p>
      <w:pPr>
        <w:widowControl w:val="0"/>
        <w:spacing w:line="360" w:lineRule="auto"/>
        <w:ind w:firstLine="560" w:firstLineChars="200"/>
        <w:jc w:val="both"/>
        <w:rPr>
          <w:rFonts w:ascii="仿宋" w:hAnsi="仿宋" w:eastAsia="仿宋"/>
          <w:color w:val="000000"/>
          <w:kern w:val="0"/>
          <w:sz w:val="28"/>
          <w:szCs w:val="28"/>
          <w:highlight w:val="none"/>
        </w:rPr>
      </w:pPr>
      <w:r>
        <w:rPr>
          <w:rFonts w:hint="eastAsia" w:ascii="仿宋" w:hAnsi="仿宋" w:eastAsia="仿宋"/>
          <w:bCs/>
          <w:color w:val="000000"/>
          <w:sz w:val="28"/>
          <w:szCs w:val="28"/>
        </w:rPr>
        <w:t>1.本次</w:t>
      </w:r>
      <w:r>
        <w:rPr>
          <w:rFonts w:hint="eastAsia" w:ascii="仿宋" w:hAnsi="仿宋" w:eastAsia="仿宋"/>
          <w:color w:val="000000"/>
          <w:sz w:val="28"/>
          <w:szCs w:val="28"/>
          <w:lang w:eastAsia="zh-CN"/>
        </w:rPr>
        <w:t>询价</w:t>
      </w:r>
      <w:r>
        <w:rPr>
          <w:rFonts w:hint="eastAsia" w:ascii="仿宋" w:hAnsi="仿宋" w:eastAsia="仿宋"/>
          <w:bCs/>
          <w:color w:val="000000"/>
          <w:sz w:val="28"/>
          <w:szCs w:val="28"/>
        </w:rPr>
        <w:t>成交供应商确定办法采用满足条件</w:t>
      </w:r>
      <w:r>
        <w:rPr>
          <w:rFonts w:hint="eastAsia" w:ascii="仿宋" w:hAnsi="仿宋" w:eastAsia="仿宋"/>
          <w:bCs/>
          <w:color w:val="000000"/>
          <w:sz w:val="28"/>
          <w:szCs w:val="28"/>
          <w:lang w:eastAsia="zh-CN"/>
        </w:rPr>
        <w:t>总价</w:t>
      </w:r>
      <w:r>
        <w:rPr>
          <w:rFonts w:hint="eastAsia" w:ascii="仿宋" w:hAnsi="仿宋" w:eastAsia="仿宋"/>
          <w:bCs/>
          <w:sz w:val="28"/>
          <w:szCs w:val="28"/>
          <w:highlight w:val="none"/>
        </w:rPr>
        <w:t>最低价成交</w:t>
      </w:r>
      <w:r>
        <w:rPr>
          <w:rFonts w:hint="eastAsia" w:ascii="仿宋" w:hAnsi="仿宋" w:eastAsia="仿宋"/>
          <w:bCs/>
          <w:sz w:val="28"/>
          <w:szCs w:val="28"/>
          <w:highlight w:val="none"/>
          <w:lang w:eastAsia="zh-CN"/>
        </w:rPr>
        <w:t>（不含税）</w:t>
      </w:r>
      <w:r>
        <w:rPr>
          <w:rFonts w:hint="eastAsia" w:ascii="仿宋" w:hAnsi="仿宋" w:eastAsia="仿宋"/>
          <w:bCs/>
          <w:color w:val="000000"/>
          <w:sz w:val="28"/>
          <w:szCs w:val="28"/>
          <w:highlight w:val="none"/>
        </w:rPr>
        <w:t>；</w:t>
      </w:r>
      <w:r>
        <w:rPr>
          <w:rFonts w:hint="eastAsia" w:ascii="仿宋" w:hAnsi="仿宋" w:eastAsia="仿宋"/>
          <w:color w:val="000000"/>
          <w:kern w:val="0"/>
          <w:sz w:val="28"/>
          <w:szCs w:val="28"/>
          <w:highlight w:val="none"/>
        </w:rPr>
        <w:t>具体</w:t>
      </w:r>
      <w:r>
        <w:rPr>
          <w:rFonts w:hint="eastAsia" w:ascii="仿宋" w:hAnsi="仿宋" w:eastAsia="仿宋"/>
          <w:color w:val="000000"/>
          <w:sz w:val="28"/>
          <w:szCs w:val="28"/>
          <w:highlight w:val="none"/>
          <w:lang w:eastAsia="zh-CN"/>
        </w:rPr>
        <w:t>询价</w:t>
      </w:r>
      <w:r>
        <w:rPr>
          <w:rFonts w:hint="eastAsia" w:ascii="仿宋" w:hAnsi="仿宋" w:eastAsia="仿宋"/>
          <w:color w:val="000000"/>
          <w:kern w:val="0"/>
          <w:sz w:val="28"/>
          <w:szCs w:val="28"/>
          <w:highlight w:val="none"/>
        </w:rPr>
        <w:t>成交标准如下：</w:t>
      </w:r>
    </w:p>
    <w:p>
      <w:pPr>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w:t>
      </w:r>
      <w:r>
        <w:rPr>
          <w:rFonts w:ascii="仿宋" w:hAnsi="仿宋" w:eastAsia="仿宋"/>
          <w:color w:val="000000"/>
          <w:kern w:val="0"/>
          <w:sz w:val="28"/>
          <w:szCs w:val="28"/>
        </w:rPr>
        <w:t>.1</w:t>
      </w:r>
      <w:r>
        <w:rPr>
          <w:rFonts w:hint="eastAsia" w:ascii="仿宋" w:hAnsi="仿宋" w:eastAsia="仿宋"/>
          <w:color w:val="000000"/>
          <w:kern w:val="0"/>
          <w:sz w:val="28"/>
          <w:szCs w:val="28"/>
        </w:rPr>
        <w:t>完全满足</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文件要求，实质性响应大于或等于三家的，根据符合采购需求、质量和服务，且报价最低的原则确定成交供应商。</w:t>
      </w:r>
    </w:p>
    <w:p>
      <w:pPr>
        <w:adjustRightInd w:val="0"/>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kern w:val="0"/>
          <w:sz w:val="28"/>
          <w:szCs w:val="28"/>
        </w:rPr>
        <w:t>1</w:t>
      </w:r>
      <w:r>
        <w:rPr>
          <w:rFonts w:ascii="仿宋" w:hAnsi="仿宋" w:eastAsia="仿宋"/>
          <w:color w:val="000000"/>
          <w:kern w:val="0"/>
          <w:sz w:val="28"/>
          <w:szCs w:val="28"/>
        </w:rPr>
        <w:t>.2</w:t>
      </w:r>
      <w:r>
        <w:rPr>
          <w:rFonts w:hint="eastAsia" w:ascii="仿宋" w:hAnsi="仿宋" w:eastAsia="仿宋"/>
          <w:color w:val="000000"/>
          <w:kern w:val="0"/>
          <w:sz w:val="28"/>
          <w:szCs w:val="28"/>
        </w:rPr>
        <w:t>递交</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响应文件截止时间送达的</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响应文件少于</w:t>
      </w:r>
      <w:r>
        <w:rPr>
          <w:rFonts w:ascii="仿宋" w:hAnsi="仿宋" w:eastAsia="仿宋"/>
          <w:color w:val="000000"/>
          <w:kern w:val="0"/>
          <w:sz w:val="28"/>
          <w:szCs w:val="28"/>
        </w:rPr>
        <w:t>3</w:t>
      </w:r>
      <w:r>
        <w:rPr>
          <w:rFonts w:hint="eastAsia" w:ascii="仿宋" w:hAnsi="仿宋" w:eastAsia="仿宋"/>
          <w:color w:val="000000"/>
          <w:kern w:val="0"/>
          <w:sz w:val="28"/>
          <w:szCs w:val="28"/>
        </w:rPr>
        <w:t>个的，应停止</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活动，将递交的</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响应文件退还响应人，并重新组织</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。重新</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仍不足</w:t>
      </w:r>
      <w:r>
        <w:rPr>
          <w:rFonts w:ascii="仿宋" w:hAnsi="仿宋" w:eastAsia="仿宋"/>
          <w:color w:val="000000"/>
          <w:kern w:val="0"/>
          <w:sz w:val="28"/>
          <w:szCs w:val="28"/>
        </w:rPr>
        <w:t>3</w:t>
      </w:r>
      <w:r>
        <w:rPr>
          <w:rFonts w:hint="eastAsia" w:ascii="仿宋" w:hAnsi="仿宋" w:eastAsia="仿宋"/>
          <w:color w:val="000000"/>
          <w:kern w:val="0"/>
          <w:sz w:val="28"/>
          <w:szCs w:val="28"/>
        </w:rPr>
        <w:t>个单位的，此</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项目经</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小组评定，可以继续进行</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。根据符合采购需求、质量和服务，且报价最低的原则确定成交供应商。</w:t>
      </w:r>
    </w:p>
    <w:p>
      <w:pPr>
        <w:adjustRightInd w:val="0"/>
        <w:snapToGrid w:val="0"/>
        <w:spacing w:line="360" w:lineRule="auto"/>
        <w:rPr>
          <w:rFonts w:ascii="仿宋" w:hAnsi="仿宋" w:eastAsia="仿宋"/>
          <w:b/>
          <w:sz w:val="28"/>
          <w:szCs w:val="28"/>
        </w:rPr>
      </w:pPr>
      <w:r>
        <w:rPr>
          <w:rFonts w:hint="eastAsia" w:ascii="仿宋" w:hAnsi="仿宋" w:eastAsia="仿宋"/>
          <w:b/>
          <w:color w:val="000000"/>
          <w:kern w:val="0"/>
          <w:sz w:val="28"/>
          <w:szCs w:val="28"/>
        </w:rPr>
        <w:t>四、</w:t>
      </w:r>
      <w:r>
        <w:rPr>
          <w:rFonts w:hint="eastAsia" w:ascii="仿宋" w:hAnsi="仿宋" w:eastAsia="仿宋"/>
          <w:b/>
          <w:sz w:val="28"/>
          <w:szCs w:val="28"/>
          <w:lang w:eastAsia="zh-CN"/>
        </w:rPr>
        <w:t>询价</w:t>
      </w:r>
      <w:r>
        <w:rPr>
          <w:rFonts w:hint="eastAsia" w:ascii="仿宋" w:hAnsi="仿宋" w:eastAsia="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color w:val="000000"/>
          <w:sz w:val="28"/>
          <w:szCs w:val="28"/>
          <w:lang w:eastAsia="zh-CN"/>
        </w:rPr>
        <w:t>询价</w:t>
      </w:r>
      <w:r>
        <w:rPr>
          <w:rFonts w:hint="eastAsia" w:ascii="仿宋" w:hAnsi="仿宋" w:eastAsia="仿宋"/>
          <w:sz w:val="28"/>
          <w:szCs w:val="28"/>
        </w:rPr>
        <w:t>文件及相关资料于</w:t>
      </w:r>
      <w:r>
        <w:rPr>
          <w:rFonts w:hint="eastAsia" w:ascii="仿宋" w:hAnsi="仿宋" w:eastAsia="仿宋"/>
          <w:color w:val="auto"/>
          <w:sz w:val="28"/>
          <w:szCs w:val="28"/>
        </w:rPr>
        <w:t>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月日通过邮件</w:t>
      </w:r>
      <w:r>
        <w:rPr>
          <w:rFonts w:hint="eastAsia" w:ascii="仿宋" w:hAnsi="仿宋" w:eastAsia="仿宋"/>
          <w:color w:val="000000"/>
          <w:sz w:val="28"/>
          <w:szCs w:val="28"/>
        </w:rPr>
        <w:t>发放</w:t>
      </w:r>
      <w:r>
        <w:rPr>
          <w:rFonts w:hint="eastAsia" w:ascii="仿宋" w:hAnsi="仿宋" w:eastAsia="仿宋"/>
          <w:sz w:val="28"/>
          <w:szCs w:val="28"/>
        </w:rPr>
        <w:t>，</w:t>
      </w:r>
      <w:r>
        <w:rPr>
          <w:rFonts w:hint="eastAsia" w:ascii="仿宋" w:hAnsi="仿宋" w:eastAsia="仿宋"/>
          <w:sz w:val="28"/>
          <w:szCs w:val="28"/>
          <w:highlight w:val="none"/>
        </w:rPr>
        <w:t>由</w:t>
      </w:r>
      <w:r>
        <w:rPr>
          <w:rFonts w:hint="eastAsia" w:ascii="仿宋" w:hAnsi="仿宋" w:eastAsia="仿宋"/>
          <w:sz w:val="28"/>
          <w:szCs w:val="28"/>
          <w:highlight w:val="none"/>
          <w:lang w:eastAsia="zh-CN"/>
        </w:rPr>
        <w:t>物流园区管理委员会</w:t>
      </w:r>
      <w:r>
        <w:rPr>
          <w:rFonts w:hint="eastAsia" w:ascii="仿宋" w:hAnsi="仿宋" w:eastAsia="仿宋"/>
          <w:sz w:val="28"/>
          <w:szCs w:val="28"/>
          <w:highlight w:val="none"/>
        </w:rPr>
        <w:t>统一组织安排时间踏勘现场。（无论报价单位</w:t>
      </w:r>
      <w:r>
        <w:rPr>
          <w:rFonts w:hint="eastAsia" w:ascii="仿宋" w:hAnsi="仿宋" w:eastAsia="仿宋"/>
          <w:sz w:val="28"/>
          <w:szCs w:val="28"/>
        </w:rPr>
        <w:t>是否踏勘，报价一经递交，均视为已踏勘）。</w:t>
      </w:r>
    </w:p>
    <w:p>
      <w:pPr>
        <w:adjustRightInd w:val="0"/>
        <w:snapToGrid w:val="0"/>
        <w:spacing w:line="360" w:lineRule="auto"/>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五、索赔：</w:t>
      </w:r>
    </w:p>
    <w:p>
      <w:pPr>
        <w:adjustRightInd w:val="0"/>
        <w:snapToGrid w:val="0"/>
        <w:spacing w:line="360" w:lineRule="auto"/>
        <w:ind w:firstLine="560" w:firstLineChars="200"/>
        <w:rPr>
          <w:rFonts w:ascii="仿宋" w:hAnsi="仿宋" w:eastAsia="仿宋" w:cs="宋体"/>
          <w:color w:val="000000"/>
          <w:kern w:val="0"/>
          <w:sz w:val="28"/>
          <w:szCs w:val="28"/>
        </w:rPr>
      </w:pPr>
      <w:bookmarkStart w:id="0" w:name="_Toc210291011"/>
      <w:bookmarkStart w:id="1" w:name="_Toc210240650"/>
      <w:r>
        <w:rPr>
          <w:rFonts w:hint="eastAsia" w:ascii="仿宋" w:hAnsi="仿宋" w:eastAsia="仿宋" w:cs="宋体"/>
          <w:color w:val="000000"/>
          <w:kern w:val="0"/>
          <w:sz w:val="28"/>
          <w:szCs w:val="28"/>
        </w:rPr>
        <w:t>供方在生活垃圾分类相关物资采购项目工程安装工艺及技术、合同要求不符时负有全部责任，供方应按需方同意的下述一种或多种方法解决索赔事宜：</w:t>
      </w:r>
      <w:bookmarkEnd w:id="0"/>
      <w:bookmarkEnd w:id="1"/>
    </w:p>
    <w:p>
      <w:pPr>
        <w:adjustRightInd w:val="0"/>
        <w:snapToGrid w:val="0"/>
        <w:spacing w:line="360" w:lineRule="auto"/>
        <w:ind w:firstLine="560" w:firstLineChars="200"/>
        <w:rPr>
          <w:rFonts w:ascii="仿宋" w:hAnsi="仿宋" w:eastAsia="仿宋" w:cs="宋体"/>
          <w:color w:val="000000"/>
          <w:kern w:val="0"/>
          <w:sz w:val="28"/>
          <w:szCs w:val="28"/>
        </w:rPr>
      </w:pPr>
      <w:bookmarkStart w:id="2" w:name="_Toc210291014"/>
      <w:bookmarkStart w:id="3" w:name="_Toc210240653"/>
      <w:r>
        <w:rPr>
          <w:rFonts w:hint="eastAsia" w:ascii="仿宋" w:hAnsi="仿宋" w:eastAsia="仿宋" w:cs="宋体"/>
          <w:color w:val="000000"/>
          <w:kern w:val="0"/>
          <w:sz w:val="28"/>
          <w:szCs w:val="28"/>
        </w:rPr>
        <w:t>1.返工不符合合同规定技术、质量要求，供方承担一切费用和风险并负担需方由此产生的一切直接费用。同时供方应相应延长该项目的质量保证期。</w:t>
      </w:r>
      <w:bookmarkEnd w:id="2"/>
      <w:bookmarkEnd w:id="3"/>
    </w:p>
    <w:p>
      <w:pPr>
        <w:adjustRightInd w:val="0"/>
        <w:snapToGrid w:val="0"/>
        <w:spacing w:line="360" w:lineRule="auto"/>
        <w:ind w:firstLine="560" w:firstLineChars="200"/>
        <w:rPr>
          <w:rFonts w:ascii="仿宋" w:hAnsi="仿宋" w:eastAsia="仿宋" w:cs="宋体"/>
          <w:color w:val="000000"/>
          <w:kern w:val="0"/>
          <w:sz w:val="28"/>
          <w:szCs w:val="28"/>
        </w:rPr>
      </w:pPr>
      <w:bookmarkStart w:id="4" w:name="_Toc210291015"/>
      <w:bookmarkStart w:id="5" w:name="_Toc210240654"/>
      <w:r>
        <w:rPr>
          <w:rFonts w:hint="eastAsia" w:ascii="仿宋" w:hAnsi="仿宋" w:eastAsia="仿宋" w:cs="宋体"/>
          <w:color w:val="000000"/>
          <w:kern w:val="0"/>
          <w:sz w:val="28"/>
          <w:szCs w:val="28"/>
        </w:rPr>
        <w:t>2.经省级或省级以上质检部门认定，因其质量或工艺存在的隐患，而导致意外人身安全事故所产生的经济、法律责任，由供方负责。采购人及其代表拥有在未获得中标企业认可的条件下，自主采取减少损失的应急措施的权力。</w:t>
      </w:r>
      <w:bookmarkEnd w:id="4"/>
      <w:bookmarkEnd w:id="5"/>
    </w:p>
    <w:p>
      <w:pPr>
        <w:spacing w:line="360" w:lineRule="auto"/>
        <w:rPr>
          <w:rFonts w:ascii="仿宋" w:hAnsi="仿宋" w:eastAsia="仿宋"/>
          <w:b/>
          <w:sz w:val="28"/>
          <w:szCs w:val="28"/>
        </w:rPr>
      </w:pPr>
      <w:r>
        <w:rPr>
          <w:rFonts w:hint="eastAsia" w:ascii="仿宋" w:hAnsi="仿宋" w:eastAsia="仿宋" w:cs="Arial"/>
          <w:b/>
          <w:color w:val="000000"/>
          <w:sz w:val="28"/>
          <w:szCs w:val="28"/>
        </w:rPr>
        <w:t>六、</w:t>
      </w:r>
      <w:r>
        <w:rPr>
          <w:rFonts w:hint="eastAsia" w:ascii="仿宋" w:hAnsi="仿宋" w:eastAsia="仿宋"/>
          <w:b/>
          <w:bCs/>
          <w:color w:val="000000"/>
          <w:kern w:val="0"/>
          <w:sz w:val="28"/>
          <w:szCs w:val="28"/>
        </w:rPr>
        <w:t>履约及违约：</w:t>
      </w:r>
    </w:p>
    <w:p>
      <w:pPr>
        <w:widowControl/>
        <w:spacing w:line="5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1.产品质量验收不合格，负责无偿修理或返工。由于修理返工造成逾期交付的，按第（2）项规定偿付逾期违约金。</w:t>
      </w:r>
    </w:p>
    <w:p>
      <w:pPr>
        <w:spacing w:line="360" w:lineRule="auto"/>
        <w:ind w:firstLine="560" w:firstLineChars="200"/>
        <w:rPr>
          <w:rFonts w:ascii="仿宋" w:hAnsi="仿宋" w:eastAsia="仿宋" w:cs="Arial"/>
          <w:color w:val="000000"/>
          <w:sz w:val="28"/>
          <w:szCs w:val="28"/>
        </w:rPr>
      </w:pPr>
      <w:r>
        <w:rPr>
          <w:rFonts w:hint="eastAsia" w:ascii="仿宋" w:hAnsi="仿宋" w:eastAsia="仿宋"/>
          <w:bCs/>
          <w:color w:val="000000"/>
          <w:sz w:val="28"/>
          <w:szCs w:val="28"/>
        </w:rPr>
        <w:t>2.不能按合同规定的工期完工，每逾期一天，应偿付给发包方合同总额千分之一的逾期违约金。逾期违约金的最高限额为合同总价的10%，一旦超过此限额，发包方可考虑解除合同，并要求承包方赔偿损失。</w:t>
      </w:r>
    </w:p>
    <w:p>
      <w:pPr>
        <w:adjustRightInd w:val="0"/>
        <w:snapToGrid w:val="0"/>
        <w:spacing w:line="360" w:lineRule="auto"/>
        <w:rPr>
          <w:rFonts w:ascii="仿宋" w:hAnsi="仿宋" w:eastAsia="仿宋"/>
          <w:b/>
          <w:color w:val="000000"/>
          <w:sz w:val="28"/>
          <w:szCs w:val="28"/>
        </w:rPr>
      </w:pPr>
      <w:r>
        <w:rPr>
          <w:rFonts w:hint="eastAsia" w:ascii="仿宋" w:hAnsi="仿宋" w:eastAsia="仿宋"/>
          <w:b/>
          <w:color w:val="000000"/>
          <w:kern w:val="0"/>
          <w:sz w:val="28"/>
          <w:szCs w:val="28"/>
        </w:rPr>
        <w:t>七、</w:t>
      </w:r>
      <w:r>
        <w:rPr>
          <w:rFonts w:hint="eastAsia" w:ascii="仿宋" w:hAnsi="仿宋" w:eastAsia="仿宋"/>
          <w:b/>
          <w:color w:val="000000"/>
          <w:sz w:val="28"/>
          <w:szCs w:val="28"/>
        </w:rPr>
        <w:t>支付方式：</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项目完工经验收合格30个工作日内</w:t>
      </w:r>
      <w:r>
        <w:rPr>
          <w:rFonts w:hint="eastAsia" w:ascii="仿宋" w:hAnsi="仿宋" w:eastAsia="仿宋"/>
          <w:color w:val="000000"/>
          <w:sz w:val="28"/>
          <w:szCs w:val="28"/>
          <w:lang w:eastAsia="zh-CN"/>
        </w:rPr>
        <w:t>，</w:t>
      </w:r>
      <w:r>
        <w:rPr>
          <w:rFonts w:hint="eastAsia" w:ascii="仿宋_GB2312" w:hAnsi="宋体" w:eastAsia="仿宋_GB2312"/>
          <w:sz w:val="28"/>
          <w:szCs w:val="28"/>
        </w:rPr>
        <w:t>供应方开具增值税专用发票</w:t>
      </w:r>
      <w:r>
        <w:rPr>
          <w:rFonts w:hint="eastAsia" w:ascii="仿宋" w:hAnsi="仿宋" w:eastAsia="仿宋"/>
          <w:color w:val="000000"/>
          <w:sz w:val="28"/>
          <w:szCs w:val="28"/>
          <w:lang w:eastAsia="zh-CN"/>
        </w:rPr>
        <w:t>后</w:t>
      </w:r>
      <w:r>
        <w:rPr>
          <w:rFonts w:hint="eastAsia" w:ascii="仿宋" w:hAnsi="仿宋" w:eastAsia="仿宋"/>
          <w:color w:val="000000"/>
          <w:sz w:val="28"/>
          <w:szCs w:val="28"/>
        </w:rPr>
        <w:t>付</w:t>
      </w:r>
      <w:r>
        <w:rPr>
          <w:rFonts w:ascii="仿宋" w:hAnsi="仿宋" w:eastAsia="仿宋"/>
          <w:color w:val="000000"/>
          <w:sz w:val="28"/>
          <w:szCs w:val="28"/>
        </w:rPr>
        <w:t>95%</w:t>
      </w:r>
      <w:r>
        <w:rPr>
          <w:rFonts w:hint="eastAsia" w:ascii="仿宋" w:hAnsi="仿宋" w:eastAsia="仿宋"/>
          <w:color w:val="000000"/>
          <w:sz w:val="28"/>
          <w:szCs w:val="28"/>
        </w:rPr>
        <w:t>项目款。质保期结束无质量问题后支付剩下</w:t>
      </w:r>
      <w:r>
        <w:rPr>
          <w:rFonts w:ascii="仿宋" w:hAnsi="仿宋" w:eastAsia="仿宋"/>
          <w:color w:val="000000"/>
          <w:sz w:val="28"/>
          <w:szCs w:val="28"/>
        </w:rPr>
        <w:t>5%</w:t>
      </w:r>
      <w:r>
        <w:rPr>
          <w:rFonts w:hint="eastAsia" w:ascii="仿宋" w:hAnsi="仿宋" w:eastAsia="仿宋"/>
          <w:color w:val="000000"/>
          <w:sz w:val="28"/>
          <w:szCs w:val="28"/>
        </w:rPr>
        <w:t>项目款。</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八、工期时间：</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30</w:t>
      </w:r>
      <w:r>
        <w:rPr>
          <w:rFonts w:hint="eastAsia" w:ascii="仿宋" w:hAnsi="仿宋" w:eastAsia="仿宋"/>
          <w:color w:val="000000"/>
          <w:sz w:val="28"/>
          <w:szCs w:val="28"/>
          <w:lang w:val="zh-CN"/>
        </w:rPr>
        <w:t>个日历天内。</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color w:val="000000"/>
          <w:sz w:val="28"/>
          <w:szCs w:val="28"/>
        </w:rPr>
        <w:t>九、</w:t>
      </w:r>
      <w:r>
        <w:rPr>
          <w:rFonts w:hint="eastAsia" w:ascii="仿宋" w:hAnsi="仿宋" w:eastAsia="仿宋"/>
          <w:b/>
          <w:color w:val="000000"/>
          <w:kern w:val="0"/>
          <w:sz w:val="28"/>
          <w:szCs w:val="28"/>
        </w:rPr>
        <w:t>报价文件的编制和提交：</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ascii="仿宋" w:hAnsi="仿宋" w:eastAsia="仿宋"/>
          <w:color w:val="000000"/>
          <w:sz w:val="28"/>
          <w:szCs w:val="28"/>
          <w:lang w:val="zh-CN"/>
        </w:rPr>
        <w:t>1</w:t>
      </w:r>
      <w:r>
        <w:rPr>
          <w:rFonts w:hint="eastAsia" w:ascii="仿宋" w:hAnsi="仿宋" w:eastAsia="仿宋"/>
          <w:color w:val="000000"/>
          <w:sz w:val="28"/>
          <w:szCs w:val="28"/>
        </w:rPr>
        <w:t>.</w:t>
      </w:r>
      <w:r>
        <w:rPr>
          <w:rFonts w:hint="eastAsia" w:ascii="仿宋" w:hAnsi="仿宋" w:eastAsia="仿宋"/>
          <w:color w:val="000000"/>
          <w:sz w:val="28"/>
          <w:lang w:eastAsia="zh-CN"/>
        </w:rPr>
        <w:t>询价</w:t>
      </w:r>
      <w:r>
        <w:rPr>
          <w:rFonts w:hint="eastAsia" w:ascii="仿宋" w:hAnsi="仿宋" w:eastAsia="仿宋"/>
          <w:color w:val="000000"/>
          <w:sz w:val="28"/>
        </w:rPr>
        <w:t>响应方</w:t>
      </w:r>
      <w:r>
        <w:rPr>
          <w:rFonts w:hint="eastAsia" w:ascii="仿宋" w:hAnsi="仿宋" w:eastAsia="仿宋"/>
          <w:color w:val="000000"/>
          <w:sz w:val="28"/>
          <w:szCs w:val="28"/>
          <w:lang w:val="zh-CN"/>
        </w:rPr>
        <w:t>应当按照</w:t>
      </w:r>
      <w:r>
        <w:rPr>
          <w:rFonts w:hint="eastAsia" w:ascii="仿宋" w:hAnsi="仿宋" w:eastAsia="仿宋"/>
          <w:color w:val="000000"/>
          <w:sz w:val="28"/>
          <w:szCs w:val="28"/>
          <w:lang w:eastAsia="zh-CN"/>
        </w:rPr>
        <w:t>询价</w:t>
      </w:r>
      <w:r>
        <w:rPr>
          <w:rFonts w:hint="eastAsia" w:ascii="仿宋" w:hAnsi="仿宋" w:eastAsia="仿宋"/>
          <w:color w:val="000000"/>
          <w:sz w:val="28"/>
          <w:szCs w:val="28"/>
          <w:lang w:val="zh-CN"/>
        </w:rPr>
        <w:t>采购文件的要求编制询价响应文件，询价响应文件应当对询价采购文件提出的要求和条件作出实质性应答。</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ascii="仿宋" w:hAnsi="仿宋" w:eastAsia="仿宋"/>
          <w:color w:val="000000"/>
          <w:sz w:val="28"/>
          <w:szCs w:val="28"/>
          <w:lang w:val="zh-CN"/>
        </w:rPr>
        <w:t>2</w:t>
      </w:r>
      <w:r>
        <w:rPr>
          <w:rFonts w:hint="eastAsia" w:ascii="仿宋" w:hAnsi="仿宋" w:eastAsia="仿宋"/>
          <w:color w:val="000000"/>
          <w:sz w:val="28"/>
          <w:szCs w:val="28"/>
        </w:rPr>
        <w:t>.</w:t>
      </w:r>
      <w:r>
        <w:rPr>
          <w:rFonts w:hint="eastAsia" w:ascii="仿宋" w:hAnsi="仿宋" w:eastAsia="仿宋"/>
          <w:color w:val="000000"/>
          <w:sz w:val="28"/>
          <w:szCs w:val="28"/>
          <w:lang w:val="zh-CN"/>
        </w:rPr>
        <w:t>询价响应文件应用</w:t>
      </w:r>
      <w:r>
        <w:rPr>
          <w:rFonts w:ascii="仿宋" w:hAnsi="仿宋" w:eastAsia="仿宋"/>
          <w:color w:val="000000"/>
          <w:sz w:val="28"/>
          <w:szCs w:val="28"/>
          <w:lang w:val="zh-CN"/>
        </w:rPr>
        <w:t>A4</w:t>
      </w:r>
      <w:r>
        <w:rPr>
          <w:rFonts w:hint="eastAsia" w:ascii="仿宋" w:hAnsi="仿宋" w:eastAsia="仿宋"/>
          <w:color w:val="000000"/>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2.1</w:t>
      </w:r>
      <w:r>
        <w:rPr>
          <w:rFonts w:hint="eastAsia" w:ascii="仿宋" w:hAnsi="仿宋" w:eastAsia="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2.2</w:t>
      </w:r>
      <w:r>
        <w:rPr>
          <w:rFonts w:hint="eastAsia" w:ascii="仿宋" w:hAnsi="仿宋" w:eastAsia="仿宋"/>
          <w:sz w:val="28"/>
          <w:szCs w:val="28"/>
          <w:lang w:val="zh-CN"/>
        </w:rPr>
        <w:t>加盖公章的</w:t>
      </w:r>
      <w:r>
        <w:rPr>
          <w:rFonts w:hint="eastAsia" w:ascii="仿宋" w:hAnsi="仿宋" w:eastAsia="仿宋"/>
          <w:color w:val="000000"/>
          <w:sz w:val="28"/>
          <w:szCs w:val="28"/>
          <w:lang w:val="zh-CN"/>
        </w:rPr>
        <w:t>报价</w:t>
      </w:r>
      <w:r>
        <w:rPr>
          <w:rFonts w:hint="eastAsia" w:ascii="仿宋" w:hAnsi="仿宋" w:eastAsia="仿宋"/>
          <w:sz w:val="28"/>
          <w:szCs w:val="28"/>
          <w:lang w:val="zh-CN"/>
        </w:rPr>
        <w:t>单及声明。</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rPr>
        <w:t>2.3</w:t>
      </w:r>
      <w:r>
        <w:rPr>
          <w:rFonts w:hint="eastAsia" w:ascii="仿宋" w:hAnsi="仿宋" w:eastAsia="仿宋"/>
          <w:color w:val="000000"/>
          <w:sz w:val="28"/>
          <w:szCs w:val="28"/>
          <w:lang w:val="zh-CN"/>
        </w:rPr>
        <w:t>技术部分。主要包括材料的工艺和详细说明等。如果提供的材料和服务与</w:t>
      </w:r>
      <w:r>
        <w:rPr>
          <w:rFonts w:hint="eastAsia" w:ascii="仿宋" w:hAnsi="仿宋" w:eastAsia="仿宋"/>
          <w:color w:val="000000"/>
          <w:sz w:val="28"/>
          <w:szCs w:val="28"/>
          <w:lang w:eastAsia="zh-CN"/>
        </w:rPr>
        <w:t>询价</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小组评定和采购人许可，才能作为供应商实质性响应。</w:t>
      </w:r>
      <w:r>
        <w:rPr>
          <w:rFonts w:ascii="仿宋" w:hAnsi="仿宋" w:eastAsia="仿宋"/>
          <w:color w:val="000000"/>
          <w:sz w:val="28"/>
          <w:szCs w:val="28"/>
        </w:rPr>
        <w:t>(</w:t>
      </w:r>
      <w:r>
        <w:rPr>
          <w:rFonts w:hint="eastAsia" w:ascii="仿宋" w:hAnsi="仿宋" w:eastAsia="仿宋"/>
          <w:color w:val="000000"/>
          <w:sz w:val="28"/>
          <w:szCs w:val="28"/>
        </w:rPr>
        <w:t>表格自制</w:t>
      </w:r>
      <w:r>
        <w:rPr>
          <w:rFonts w:ascii="仿宋" w:hAnsi="仿宋" w:eastAsia="仿宋"/>
          <w:color w:val="000000"/>
          <w:sz w:val="28"/>
          <w:szCs w:val="28"/>
        </w:rPr>
        <w:t>)</w:t>
      </w:r>
    </w:p>
    <w:p>
      <w:pPr>
        <w:widowControl/>
        <w:ind w:firstLine="560" w:firstLineChars="200"/>
        <w:jc w:val="left"/>
        <w:rPr>
          <w:rFonts w:hint="eastAsia" w:ascii="仿宋" w:hAnsi="仿宋" w:eastAsia="仿宋"/>
          <w:color w:val="000000"/>
          <w:sz w:val="28"/>
          <w:szCs w:val="28"/>
          <w:lang w:val="zh-CN"/>
        </w:rPr>
      </w:pPr>
      <w:r>
        <w:rPr>
          <w:rFonts w:hint="eastAsia" w:ascii="仿宋" w:hAnsi="仿宋" w:eastAsia="仿宋"/>
          <w:color w:val="000000"/>
          <w:sz w:val="28"/>
          <w:szCs w:val="28"/>
        </w:rPr>
        <w:t>2.4</w:t>
      </w:r>
      <w:r>
        <w:rPr>
          <w:rFonts w:hint="eastAsia" w:ascii="仿宋" w:hAnsi="仿宋" w:eastAsia="仿宋"/>
          <w:color w:val="000000"/>
          <w:sz w:val="28"/>
          <w:szCs w:val="28"/>
          <w:lang w:val="zh-CN"/>
        </w:rPr>
        <w:t>报价部分。询价响应方应按照</w:t>
      </w:r>
      <w:r>
        <w:rPr>
          <w:rFonts w:hint="eastAsia" w:ascii="仿宋" w:hAnsi="仿宋" w:eastAsia="仿宋"/>
          <w:color w:val="000000"/>
          <w:sz w:val="28"/>
          <w:szCs w:val="28"/>
          <w:lang w:eastAsia="zh-CN"/>
        </w:rPr>
        <w:t>询价</w:t>
      </w:r>
      <w:r>
        <w:rPr>
          <w:rFonts w:hint="eastAsia" w:ascii="仿宋" w:hAnsi="仿宋" w:eastAsia="仿宋"/>
          <w:color w:val="000000"/>
          <w:sz w:val="28"/>
          <w:szCs w:val="28"/>
          <w:lang w:val="zh-CN"/>
        </w:rPr>
        <w:t>采购文件要求报出拟提供货物的品牌、规格、产地、单价、总价等详细内容，各项报价应包括拟提供货物的运输、相关税金和服务等全部费用</w:t>
      </w:r>
      <w:r>
        <w:rPr>
          <w:rFonts w:hint="eastAsia" w:ascii="仿宋" w:hAnsi="仿宋" w:eastAsia="仿宋"/>
          <w:color w:val="000000" w:themeColor="text1"/>
          <w:sz w:val="28"/>
          <w:szCs w:val="28"/>
          <w:lang w:val="zh-CN"/>
        </w:rPr>
        <w:t>。询价响应方报价文</w:t>
      </w:r>
      <w:r>
        <w:rPr>
          <w:rFonts w:hint="eastAsia" w:ascii="仿宋" w:hAnsi="仿宋" w:eastAsia="仿宋"/>
          <w:color w:val="000000"/>
          <w:sz w:val="28"/>
          <w:szCs w:val="28"/>
          <w:lang w:val="zh-CN"/>
        </w:rPr>
        <w:t>件包括烟灰桶不锈钢烟灰柱</w:t>
      </w:r>
      <w:r>
        <w:rPr>
          <w:rFonts w:hint="eastAsia" w:ascii="仿宋" w:hAnsi="仿宋" w:eastAsia="仿宋"/>
          <w:color w:val="000000"/>
          <w:sz w:val="28"/>
          <w:szCs w:val="28"/>
          <w:lang w:val="zh-CN" w:eastAsia="zh-CN"/>
        </w:rPr>
        <w:t>、</w:t>
      </w:r>
      <w:r>
        <w:rPr>
          <w:rFonts w:hint="eastAsia" w:ascii="仿宋" w:hAnsi="仿宋" w:eastAsia="仿宋"/>
          <w:color w:val="000000"/>
          <w:sz w:val="28"/>
          <w:szCs w:val="28"/>
          <w:lang w:val="zh-CN"/>
        </w:rPr>
        <w:t>脚踏式四分类垃圾桶</w:t>
      </w:r>
      <w:r>
        <w:rPr>
          <w:rFonts w:hint="eastAsia" w:ascii="仿宋" w:hAnsi="仿宋" w:eastAsia="仿宋"/>
          <w:color w:val="000000"/>
          <w:sz w:val="28"/>
          <w:szCs w:val="28"/>
          <w:lang w:val="zh-CN" w:eastAsia="zh-CN"/>
        </w:rPr>
        <w:t>和</w:t>
      </w:r>
      <w:r>
        <w:rPr>
          <w:rFonts w:hint="eastAsia" w:ascii="仿宋" w:hAnsi="仿宋" w:eastAsia="仿宋"/>
          <w:color w:val="000000"/>
          <w:sz w:val="28"/>
          <w:szCs w:val="28"/>
          <w:lang w:val="zh-CN"/>
        </w:rPr>
        <w:t>垃圾分类标识</w:t>
      </w:r>
      <w:r>
        <w:rPr>
          <w:rFonts w:hint="eastAsia" w:ascii="仿宋" w:hAnsi="仿宋" w:eastAsia="仿宋"/>
          <w:color w:val="000000"/>
          <w:sz w:val="28"/>
          <w:szCs w:val="28"/>
          <w:lang w:val="zh-CN" w:eastAsia="zh-CN"/>
        </w:rPr>
        <w:t>两部分。体现两部分的不含税价及税率。并在报价文件中汇总不含税总额和含税总额</w:t>
      </w:r>
      <w:r>
        <w:rPr>
          <w:rFonts w:hint="eastAsia" w:ascii="仿宋" w:hAnsi="仿宋" w:eastAsia="仿宋"/>
          <w:color w:val="000000"/>
          <w:sz w:val="28"/>
          <w:szCs w:val="28"/>
          <w:lang w:val="zh-CN"/>
        </w:rPr>
        <w:t>报价为含税价，（报价表格式自制）</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sz w:val="28"/>
          <w:szCs w:val="28"/>
        </w:rPr>
        <w:t>2.5</w:t>
      </w:r>
      <w:r>
        <w:rPr>
          <w:rFonts w:hint="eastAsia" w:ascii="仿宋" w:hAnsi="仿宋" w:eastAsia="仿宋"/>
          <w:color w:val="000000"/>
          <w:sz w:val="28"/>
          <w:szCs w:val="28"/>
          <w:lang w:val="zh-CN"/>
        </w:rPr>
        <w:t>商务部分。主要包括三证合一的营业执照（复印件），法人代表委托书（原件）以及所提供产品的合格证明、其它资格证明（如企业资信证明、质量体系认证等）以及服务承诺等。</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2.6询价响应文件一式3份，其中正本1份，副本2份。</w:t>
      </w:r>
    </w:p>
    <w:p>
      <w:pPr>
        <w:numPr>
          <w:ilvl w:val="0"/>
          <w:numId w:val="2"/>
        </w:num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themeColor="text1"/>
          <w:sz w:val="28"/>
          <w:szCs w:val="28"/>
        </w:rPr>
        <w:t>本项目最高</w:t>
      </w:r>
      <w:r>
        <w:rPr>
          <w:rFonts w:hint="eastAsia" w:ascii="仿宋" w:hAnsi="仿宋" w:eastAsia="仿宋"/>
          <w:color w:val="000000" w:themeColor="text1"/>
          <w:sz w:val="28"/>
          <w:szCs w:val="28"/>
          <w:lang w:eastAsia="zh-CN"/>
        </w:rPr>
        <w:t>不</w:t>
      </w:r>
      <w:r>
        <w:rPr>
          <w:rFonts w:hint="eastAsia" w:ascii="仿宋" w:hAnsi="仿宋" w:eastAsia="仿宋"/>
          <w:color w:val="000000" w:themeColor="text1"/>
          <w:sz w:val="28"/>
          <w:szCs w:val="28"/>
        </w:rPr>
        <w:t>含税限价为</w:t>
      </w:r>
      <w:r>
        <w:rPr>
          <w:rFonts w:hint="eastAsia" w:ascii="仿宋" w:hAnsi="仿宋" w:eastAsia="仿宋"/>
          <w:color w:val="000000" w:themeColor="text1"/>
          <w:sz w:val="28"/>
          <w:szCs w:val="28"/>
          <w:lang w:val="en-US" w:eastAsia="zh-CN"/>
        </w:rPr>
        <w:t xml:space="preserve"> 2.765</w:t>
      </w:r>
      <w:r>
        <w:rPr>
          <w:rFonts w:hint="eastAsia" w:ascii="仿宋" w:hAnsi="仿宋" w:eastAsia="仿宋"/>
          <w:color w:val="000000" w:themeColor="text1"/>
          <w:sz w:val="28"/>
          <w:szCs w:val="28"/>
        </w:rPr>
        <w:t>万元</w:t>
      </w:r>
      <w:r>
        <w:rPr>
          <w:rFonts w:hint="eastAsia" w:ascii="仿宋" w:hAnsi="仿宋" w:eastAsia="仿宋"/>
          <w:color w:val="000000"/>
          <w:sz w:val="28"/>
          <w:szCs w:val="28"/>
        </w:rPr>
        <w:t>，报价超过最高限价，将取消询价响应方的询价价格。</w:t>
      </w:r>
    </w:p>
    <w:p>
      <w:pPr>
        <w:autoSpaceDE w:val="0"/>
        <w:autoSpaceDN w:val="0"/>
        <w:adjustRightInd w:val="0"/>
        <w:spacing w:line="360" w:lineRule="auto"/>
        <w:rPr>
          <w:rFonts w:ascii="仿宋" w:hAnsi="仿宋" w:eastAsia="仿宋"/>
          <w:color w:val="000000"/>
          <w:sz w:val="28"/>
          <w:szCs w:val="28"/>
          <w:lang w:val="zh-CN"/>
        </w:rPr>
      </w:pPr>
      <w:r>
        <w:rPr>
          <w:rFonts w:hint="eastAsia" w:ascii="仿宋" w:hAnsi="仿宋" w:eastAsia="仿宋"/>
          <w:b/>
          <w:color w:val="000000"/>
          <w:sz w:val="28"/>
          <w:szCs w:val="28"/>
          <w:lang w:val="zh-CN"/>
        </w:rPr>
        <w:t>十、备注：</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 w:hAnsi="仿宋" w:eastAsia="仿宋"/>
          <w:color w:val="000000"/>
          <w:sz w:val="28"/>
          <w:szCs w:val="28"/>
        </w:rPr>
        <w:t>1.</w:t>
      </w:r>
      <w:r>
        <w:rPr>
          <w:rFonts w:hint="eastAsia" w:ascii="仿宋" w:hAnsi="仿宋" w:eastAsia="仿宋"/>
          <w:color w:val="000000"/>
          <w:sz w:val="28"/>
          <w:szCs w:val="28"/>
          <w:lang w:val="zh-CN"/>
        </w:rPr>
        <w:t>如询价响应方未按照要求编制询价响应文件，该询价响应文件可能被拒绝。</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kern w:val="0"/>
          <w:sz w:val="28"/>
          <w:szCs w:val="28"/>
        </w:rPr>
        <w:t>2.</w:t>
      </w:r>
      <w:r>
        <w:rPr>
          <w:rFonts w:hint="eastAsia" w:ascii="仿宋" w:hAnsi="仿宋" w:eastAsia="仿宋"/>
          <w:color w:val="000000"/>
          <w:sz w:val="28"/>
          <w:szCs w:val="28"/>
          <w:lang w:val="zh-CN"/>
        </w:rPr>
        <w:t>询价响应文件</w:t>
      </w:r>
      <w:r>
        <w:rPr>
          <w:rFonts w:hint="eastAsia" w:ascii="仿宋" w:hAnsi="仿宋" w:eastAsia="仿宋"/>
          <w:color w:val="000000" w:themeColor="text1"/>
          <w:kern w:val="0"/>
          <w:sz w:val="28"/>
          <w:szCs w:val="28"/>
        </w:rPr>
        <w:t>必须在</w:t>
      </w:r>
      <w:r>
        <w:rPr>
          <w:rFonts w:ascii="仿宋" w:hAnsi="仿宋" w:eastAsia="仿宋"/>
          <w:color w:val="000000" w:themeColor="text1"/>
          <w:kern w:val="0"/>
          <w:sz w:val="28"/>
          <w:szCs w:val="28"/>
          <w:u w:val="single"/>
        </w:rPr>
        <w:t>20</w:t>
      </w:r>
      <w:r>
        <w:rPr>
          <w:rFonts w:hint="eastAsia" w:ascii="仿宋" w:hAnsi="仿宋" w:eastAsia="仿宋"/>
          <w:color w:val="000000" w:themeColor="text1"/>
          <w:kern w:val="0"/>
          <w:sz w:val="28"/>
          <w:szCs w:val="28"/>
          <w:u w:val="single"/>
          <w:lang w:val="en-US" w:eastAsia="zh-CN"/>
        </w:rPr>
        <w:t>20</w:t>
      </w:r>
      <w:r>
        <w:rPr>
          <w:rFonts w:hint="eastAsia" w:ascii="仿宋" w:hAnsi="仿宋" w:eastAsia="仿宋"/>
          <w:color w:val="000000" w:themeColor="text1"/>
          <w:kern w:val="0"/>
          <w:sz w:val="28"/>
          <w:szCs w:val="28"/>
          <w:u w:val="single"/>
        </w:rPr>
        <w:t>年</w:t>
      </w:r>
      <w:r>
        <w:rPr>
          <w:rFonts w:hint="eastAsia" w:ascii="仿宋" w:hAnsi="仿宋" w:eastAsia="仿宋"/>
          <w:color w:val="000000" w:themeColor="text1"/>
          <w:kern w:val="0"/>
          <w:sz w:val="28"/>
          <w:szCs w:val="28"/>
          <w:u w:val="single"/>
          <w:lang w:val="en-US" w:eastAsia="zh-CN"/>
        </w:rPr>
        <w:t xml:space="preserve">6 </w:t>
      </w:r>
      <w:r>
        <w:rPr>
          <w:rFonts w:hint="eastAsia" w:ascii="仿宋" w:hAnsi="仿宋" w:eastAsia="仿宋"/>
          <w:color w:val="000000" w:themeColor="text1"/>
          <w:kern w:val="0"/>
          <w:sz w:val="28"/>
          <w:szCs w:val="28"/>
          <w:u w:val="single"/>
        </w:rPr>
        <w:t>月</w:t>
      </w:r>
      <w:r>
        <w:rPr>
          <w:rFonts w:hint="eastAsia" w:ascii="仿宋" w:hAnsi="仿宋" w:eastAsia="仿宋"/>
          <w:color w:val="000000" w:themeColor="text1"/>
          <w:kern w:val="0"/>
          <w:sz w:val="28"/>
          <w:szCs w:val="28"/>
          <w:u w:val="single"/>
          <w:lang w:val="en-US" w:eastAsia="zh-CN"/>
        </w:rPr>
        <w:t xml:space="preserve"> 18</w:t>
      </w:r>
      <w:r>
        <w:rPr>
          <w:rFonts w:hint="eastAsia" w:ascii="仿宋" w:hAnsi="仿宋" w:eastAsia="仿宋"/>
          <w:color w:val="auto"/>
          <w:kern w:val="0"/>
          <w:sz w:val="28"/>
          <w:szCs w:val="28"/>
          <w:u w:val="single"/>
        </w:rPr>
        <w:t>日</w:t>
      </w:r>
      <w:r>
        <w:rPr>
          <w:rFonts w:hint="eastAsia" w:ascii="仿宋" w:hAnsi="仿宋" w:eastAsia="仿宋"/>
          <w:color w:val="auto"/>
          <w:kern w:val="0"/>
          <w:sz w:val="28"/>
          <w:szCs w:val="28"/>
          <w:u w:val="single"/>
          <w:lang w:val="en-US" w:eastAsia="zh-CN"/>
        </w:rPr>
        <w:t>16:00</w:t>
      </w:r>
      <w:r>
        <w:rPr>
          <w:rFonts w:hint="eastAsia" w:ascii="仿宋" w:hAnsi="仿宋" w:eastAsia="仿宋"/>
          <w:color w:val="auto"/>
          <w:kern w:val="0"/>
          <w:sz w:val="28"/>
          <w:szCs w:val="28"/>
        </w:rPr>
        <w:t>时</w:t>
      </w:r>
      <w:r>
        <w:rPr>
          <w:rFonts w:hint="eastAsia" w:ascii="仿宋" w:hAnsi="仿宋" w:eastAsia="仿宋"/>
          <w:color w:val="000000" w:themeColor="text1"/>
          <w:kern w:val="0"/>
          <w:sz w:val="28"/>
          <w:szCs w:val="28"/>
        </w:rPr>
        <w:t>前送到重庆机场有限公司</w:t>
      </w:r>
      <w:r>
        <w:rPr>
          <w:rFonts w:hint="eastAsia" w:ascii="仿宋" w:hAnsi="仿宋" w:eastAsia="仿宋"/>
          <w:color w:val="000000" w:themeColor="text1"/>
          <w:kern w:val="0"/>
          <w:sz w:val="28"/>
          <w:szCs w:val="28"/>
          <w:highlight w:val="none"/>
          <w:lang w:eastAsia="zh-CN"/>
        </w:rPr>
        <w:t>物流园区管理委员会</w:t>
      </w:r>
      <w:r>
        <w:rPr>
          <w:rFonts w:hint="eastAsia" w:ascii="仿宋" w:hAnsi="仿宋" w:eastAsia="仿宋"/>
          <w:color w:val="000000" w:themeColor="text1"/>
          <w:kern w:val="0"/>
          <w:sz w:val="28"/>
          <w:szCs w:val="28"/>
        </w:rPr>
        <w:t>，</w:t>
      </w:r>
      <w:r>
        <w:rPr>
          <w:rFonts w:hint="eastAsia" w:ascii="仿宋" w:hAnsi="仿宋" w:eastAsia="仿宋"/>
          <w:kern w:val="0"/>
          <w:sz w:val="28"/>
          <w:szCs w:val="28"/>
        </w:rPr>
        <w:t>过期不予受理。</w:t>
      </w:r>
    </w:p>
    <w:p>
      <w:pPr>
        <w:autoSpaceDE w:val="0"/>
        <w:autoSpaceDN w:val="0"/>
        <w:adjustRightInd w:val="0"/>
        <w:snapToGrid w:val="0"/>
        <w:spacing w:line="360" w:lineRule="auto"/>
        <w:ind w:firstLine="551" w:firstLineChars="197"/>
        <w:textAlignment w:val="bottom"/>
        <w:rPr>
          <w:rFonts w:ascii="仿宋" w:hAnsi="仿宋" w:eastAsia="仿宋"/>
          <w:color w:val="000000"/>
          <w:sz w:val="28"/>
          <w:szCs w:val="28"/>
        </w:rPr>
      </w:pPr>
      <w:r>
        <w:rPr>
          <w:rFonts w:hint="eastAsia" w:ascii="仿宋" w:hAnsi="仿宋" w:eastAsia="仿宋"/>
          <w:color w:val="000000"/>
          <w:kern w:val="0"/>
          <w:sz w:val="28"/>
          <w:szCs w:val="28"/>
        </w:rPr>
        <w:t>3.封面上须注明</w:t>
      </w:r>
      <w:r>
        <w:rPr>
          <w:rFonts w:ascii="仿宋" w:hAnsi="仿宋" w:eastAsia="仿宋"/>
          <w:color w:val="000000"/>
          <w:kern w:val="0"/>
          <w:sz w:val="28"/>
          <w:szCs w:val="28"/>
        </w:rPr>
        <w:t>“</w:t>
      </w:r>
      <w:r>
        <w:rPr>
          <w:rFonts w:hint="eastAsia" w:ascii="仿宋" w:hAnsi="仿宋" w:eastAsia="仿宋"/>
          <w:color w:val="000000"/>
          <w:kern w:val="0"/>
          <w:sz w:val="28"/>
          <w:szCs w:val="28"/>
        </w:rPr>
        <w:t>项目名称</w:t>
      </w:r>
      <w:r>
        <w:rPr>
          <w:rFonts w:ascii="仿宋" w:hAnsi="仿宋" w:eastAsia="仿宋"/>
          <w:color w:val="000000"/>
          <w:kern w:val="0"/>
          <w:sz w:val="28"/>
          <w:szCs w:val="28"/>
        </w:rPr>
        <w:t>”</w:t>
      </w:r>
      <w:r>
        <w:rPr>
          <w:rFonts w:hint="eastAsia" w:ascii="仿宋" w:hAnsi="仿宋" w:eastAsia="仿宋"/>
          <w:color w:val="000000"/>
          <w:kern w:val="0"/>
          <w:sz w:val="28"/>
          <w:szCs w:val="28"/>
        </w:rPr>
        <w:t>及</w:t>
      </w:r>
      <w:r>
        <w:rPr>
          <w:rFonts w:ascii="仿宋" w:hAnsi="仿宋" w:eastAsia="仿宋"/>
          <w:color w:val="000000"/>
          <w:kern w:val="0"/>
          <w:sz w:val="28"/>
          <w:szCs w:val="28"/>
        </w:rPr>
        <w:t>“</w:t>
      </w:r>
      <w:r>
        <w:rPr>
          <w:rFonts w:hint="eastAsia" w:ascii="仿宋" w:hAnsi="仿宋" w:eastAsia="仿宋"/>
          <w:color w:val="000000"/>
          <w:kern w:val="0"/>
          <w:sz w:val="28"/>
          <w:szCs w:val="28"/>
          <w:lang w:eastAsia="zh-CN"/>
        </w:rPr>
        <w:t>询价</w:t>
      </w:r>
      <w:r>
        <w:rPr>
          <w:rFonts w:hint="eastAsia" w:ascii="仿宋" w:hAnsi="仿宋" w:eastAsia="仿宋"/>
          <w:color w:val="000000"/>
          <w:kern w:val="0"/>
          <w:sz w:val="28"/>
          <w:szCs w:val="28"/>
        </w:rPr>
        <w:t>文件编号</w:t>
      </w:r>
      <w:r>
        <w:rPr>
          <w:rFonts w:ascii="仿宋" w:hAnsi="仿宋" w:eastAsia="仿宋"/>
          <w:color w:val="000000"/>
          <w:kern w:val="0"/>
          <w:sz w:val="28"/>
          <w:szCs w:val="28"/>
        </w:rPr>
        <w:t>”</w:t>
      </w:r>
      <w:r>
        <w:rPr>
          <w:rFonts w:hint="eastAsia" w:ascii="仿宋" w:hAnsi="仿宋" w:eastAsia="仿宋"/>
          <w:color w:val="000000"/>
          <w:kern w:val="0"/>
          <w:sz w:val="28"/>
          <w:szCs w:val="28"/>
        </w:rPr>
        <w:t>；</w:t>
      </w:r>
      <w:r>
        <w:rPr>
          <w:rFonts w:hint="eastAsia" w:ascii="仿宋" w:hAnsi="仿宋" w:eastAsia="仿宋"/>
          <w:color w:val="000000"/>
          <w:sz w:val="28"/>
          <w:szCs w:val="28"/>
          <w:lang w:val="zh-CN"/>
        </w:rPr>
        <w:t>询价响应文件</w:t>
      </w:r>
      <w:r>
        <w:rPr>
          <w:rFonts w:hint="eastAsia" w:ascii="仿宋" w:hAnsi="仿宋" w:eastAsia="仿宋"/>
          <w:color w:val="000000"/>
          <w:kern w:val="0"/>
          <w:sz w:val="28"/>
          <w:szCs w:val="28"/>
        </w:rPr>
        <w:t>清单要求盖章或签字处及</w:t>
      </w:r>
      <w:r>
        <w:rPr>
          <w:rFonts w:hint="eastAsia" w:ascii="仿宋" w:hAnsi="仿宋" w:eastAsia="仿宋"/>
          <w:color w:val="000000"/>
          <w:sz w:val="28"/>
          <w:szCs w:val="28"/>
          <w:lang w:val="zh-CN"/>
        </w:rPr>
        <w:t>询价响应文件</w:t>
      </w:r>
      <w:r>
        <w:rPr>
          <w:rFonts w:hint="eastAsia" w:ascii="仿宋" w:hAnsi="仿宋" w:eastAsia="仿宋"/>
          <w:color w:val="000000"/>
          <w:spacing w:val="-8"/>
          <w:sz w:val="28"/>
          <w:szCs w:val="28"/>
        </w:rPr>
        <w:t>外包装上密封处加盖比选响应方公章、法定代表人盖章或签字。</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4.如果</w:t>
      </w:r>
      <w:r>
        <w:rPr>
          <w:rFonts w:hint="eastAsia" w:ascii="仿宋" w:hAnsi="仿宋" w:eastAsia="仿宋"/>
          <w:color w:val="000000"/>
          <w:sz w:val="28"/>
          <w:szCs w:val="28"/>
          <w:lang w:eastAsia="zh-CN"/>
        </w:rPr>
        <w:t>询价</w:t>
      </w:r>
      <w:r>
        <w:rPr>
          <w:rFonts w:hint="eastAsia" w:ascii="仿宋" w:hAnsi="仿宋" w:eastAsia="仿宋"/>
          <w:color w:val="000000"/>
          <w:spacing w:val="-8"/>
          <w:sz w:val="28"/>
          <w:szCs w:val="28"/>
        </w:rPr>
        <w:t>响应方</w:t>
      </w:r>
      <w:r>
        <w:rPr>
          <w:rFonts w:hint="eastAsia" w:ascii="仿宋" w:hAnsi="仿宋" w:eastAsia="仿宋"/>
          <w:color w:val="000000"/>
          <w:sz w:val="28"/>
          <w:szCs w:val="28"/>
        </w:rPr>
        <w:t>未按要求密封或未准时递交的</w:t>
      </w:r>
      <w:r>
        <w:rPr>
          <w:rFonts w:hint="eastAsia" w:ascii="仿宋" w:hAnsi="仿宋" w:eastAsia="仿宋"/>
          <w:color w:val="000000"/>
          <w:spacing w:val="-8"/>
          <w:sz w:val="28"/>
          <w:szCs w:val="28"/>
          <w:lang w:eastAsia="zh-CN"/>
        </w:rPr>
        <w:t>询价</w:t>
      </w:r>
      <w:r>
        <w:rPr>
          <w:rFonts w:hint="eastAsia" w:ascii="仿宋" w:hAnsi="仿宋" w:eastAsia="仿宋"/>
          <w:color w:val="000000"/>
          <w:spacing w:val="-8"/>
          <w:sz w:val="28"/>
          <w:szCs w:val="28"/>
        </w:rPr>
        <w:t>响应文件</w:t>
      </w:r>
      <w:r>
        <w:rPr>
          <w:rFonts w:hint="eastAsia" w:ascii="仿宋" w:hAnsi="仿宋" w:eastAsia="仿宋"/>
          <w:color w:val="000000"/>
          <w:sz w:val="28"/>
          <w:szCs w:val="28"/>
        </w:rPr>
        <w:t>将被拒绝，并将</w:t>
      </w:r>
      <w:r>
        <w:rPr>
          <w:rFonts w:hint="eastAsia" w:ascii="仿宋" w:hAnsi="仿宋" w:eastAsia="仿宋"/>
          <w:color w:val="000000"/>
          <w:spacing w:val="-8"/>
          <w:sz w:val="28"/>
          <w:szCs w:val="28"/>
          <w:lang w:eastAsia="zh-CN"/>
        </w:rPr>
        <w:t>询价</w:t>
      </w:r>
      <w:r>
        <w:rPr>
          <w:rFonts w:hint="eastAsia" w:ascii="仿宋" w:hAnsi="仿宋" w:eastAsia="仿宋"/>
          <w:color w:val="000000"/>
          <w:spacing w:val="-8"/>
          <w:sz w:val="28"/>
          <w:szCs w:val="28"/>
        </w:rPr>
        <w:t>响应文件</w:t>
      </w:r>
      <w:r>
        <w:rPr>
          <w:rFonts w:hint="eastAsia" w:ascii="仿宋" w:hAnsi="仿宋" w:eastAsia="仿宋"/>
          <w:color w:val="000000"/>
          <w:sz w:val="28"/>
          <w:szCs w:val="28"/>
        </w:rPr>
        <w:t>退还给</w:t>
      </w:r>
      <w:r>
        <w:rPr>
          <w:rFonts w:hint="eastAsia" w:ascii="仿宋" w:hAnsi="仿宋" w:eastAsia="仿宋"/>
          <w:color w:val="000000"/>
          <w:sz w:val="28"/>
          <w:szCs w:val="28"/>
          <w:lang w:eastAsia="zh-CN"/>
        </w:rPr>
        <w:t>询价</w:t>
      </w:r>
      <w:r>
        <w:rPr>
          <w:rFonts w:hint="eastAsia" w:ascii="仿宋" w:hAnsi="仿宋" w:eastAsia="仿宋"/>
          <w:color w:val="000000"/>
          <w:sz w:val="28"/>
          <w:szCs w:val="28"/>
        </w:rPr>
        <w:t>响应方，自动取消报价资格。</w:t>
      </w:r>
    </w:p>
    <w:p>
      <w:pPr>
        <w:autoSpaceDE w:val="0"/>
        <w:autoSpaceDN w:val="0"/>
        <w:adjustRightInd w:val="0"/>
        <w:snapToGrid w:val="0"/>
        <w:spacing w:line="360" w:lineRule="auto"/>
        <w:textAlignment w:val="bottom"/>
        <w:rPr>
          <w:rFonts w:ascii="仿宋" w:hAnsi="仿宋" w:eastAsia="仿宋"/>
          <w:b/>
          <w:color w:val="000000"/>
          <w:sz w:val="28"/>
          <w:szCs w:val="28"/>
        </w:rPr>
      </w:pPr>
      <w:r>
        <w:rPr>
          <w:rFonts w:hint="eastAsia" w:ascii="仿宋" w:hAnsi="仿宋" w:eastAsia="仿宋"/>
          <w:b/>
          <w:color w:val="000000"/>
          <w:sz w:val="28"/>
          <w:szCs w:val="28"/>
        </w:rPr>
        <w:t>十一、</w:t>
      </w:r>
      <w:r>
        <w:rPr>
          <w:rFonts w:hint="eastAsia" w:ascii="仿宋" w:hAnsi="仿宋" w:eastAsia="仿宋"/>
          <w:b/>
          <w:color w:val="000000"/>
          <w:sz w:val="28"/>
          <w:szCs w:val="28"/>
          <w:lang w:eastAsia="zh-CN"/>
        </w:rPr>
        <w:t>询价</w:t>
      </w:r>
      <w:r>
        <w:rPr>
          <w:rFonts w:hint="eastAsia" w:ascii="仿宋" w:hAnsi="仿宋" w:eastAsia="仿宋"/>
          <w:b/>
          <w:color w:val="00000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FF0000"/>
          <w:kern w:val="0"/>
          <w:sz w:val="28"/>
          <w:szCs w:val="28"/>
        </w:rPr>
      </w:pPr>
      <w:r>
        <w:rPr>
          <w:rFonts w:hint="eastAsia" w:ascii="仿宋" w:hAnsi="仿宋" w:eastAsia="仿宋"/>
          <w:color w:val="000000" w:themeColor="text1"/>
          <w:sz w:val="28"/>
          <w:szCs w:val="28"/>
        </w:rPr>
        <w:t>1.</w:t>
      </w:r>
      <w:r>
        <w:rPr>
          <w:rFonts w:hint="eastAsia" w:ascii="仿宋" w:hAnsi="仿宋" w:eastAsia="仿宋"/>
          <w:color w:val="000000" w:themeColor="text1"/>
          <w:sz w:val="28"/>
          <w:szCs w:val="28"/>
          <w:u w:val="single"/>
        </w:rPr>
        <w:t xml:space="preserve"> </w:t>
      </w:r>
      <w:r>
        <w:rPr>
          <w:rFonts w:hint="eastAsia" w:ascii="仿宋" w:hAnsi="仿宋" w:eastAsia="仿宋"/>
          <w:color w:val="auto"/>
          <w:sz w:val="28"/>
          <w:szCs w:val="28"/>
          <w:u w:val="single"/>
        </w:rPr>
        <w:t>20</w:t>
      </w:r>
      <w:r>
        <w:rPr>
          <w:rFonts w:hint="eastAsia" w:ascii="仿宋" w:hAnsi="仿宋" w:eastAsia="仿宋"/>
          <w:color w:val="auto"/>
          <w:sz w:val="28"/>
          <w:szCs w:val="28"/>
          <w:u w:val="single"/>
          <w:lang w:val="en-US" w:eastAsia="zh-CN"/>
        </w:rPr>
        <w:t>20</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 xml:space="preserve"> 6</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 xml:space="preserve">  18</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16</w:t>
      </w:r>
      <w:r>
        <w:rPr>
          <w:rFonts w:hint="eastAsia" w:ascii="仿宋" w:hAnsi="仿宋" w:eastAsia="仿宋"/>
          <w:color w:val="auto"/>
          <w:sz w:val="28"/>
          <w:szCs w:val="28"/>
          <w:u w:val="single"/>
        </w:rPr>
        <w:t>:</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u w:val="single"/>
        </w:rPr>
        <w:t>0</w:t>
      </w:r>
      <w:r>
        <w:rPr>
          <w:rFonts w:hint="eastAsia" w:ascii="仿宋" w:hAnsi="仿宋" w:eastAsia="仿宋"/>
          <w:color w:val="auto"/>
          <w:sz w:val="28"/>
          <w:szCs w:val="28"/>
        </w:rPr>
        <w:t>时</w:t>
      </w:r>
      <w:r>
        <w:rPr>
          <w:rFonts w:hint="eastAsia" w:ascii="仿宋" w:hAnsi="仿宋" w:eastAsia="仿宋"/>
          <w:color w:val="000000" w:themeColor="text1"/>
          <w:kern w:val="0"/>
          <w:sz w:val="28"/>
          <w:szCs w:val="28"/>
        </w:rPr>
        <w:t>重庆机场有限公司</w:t>
      </w:r>
      <w:r>
        <w:rPr>
          <w:rFonts w:hint="eastAsia" w:ascii="仿宋" w:hAnsi="仿宋" w:eastAsia="仿宋"/>
          <w:color w:val="000000" w:themeColor="text1"/>
          <w:kern w:val="0"/>
          <w:sz w:val="28"/>
          <w:szCs w:val="28"/>
          <w:highlight w:val="none"/>
          <w:lang w:eastAsia="zh-CN"/>
        </w:rPr>
        <w:t>物流园区管</w:t>
      </w:r>
      <w:bookmarkStart w:id="6" w:name="_GoBack"/>
      <w:bookmarkEnd w:id="6"/>
      <w:r>
        <w:rPr>
          <w:rFonts w:hint="eastAsia" w:ascii="仿宋" w:hAnsi="仿宋" w:eastAsia="仿宋"/>
          <w:color w:val="000000" w:themeColor="text1"/>
          <w:kern w:val="0"/>
          <w:sz w:val="28"/>
          <w:szCs w:val="28"/>
          <w:highlight w:val="none"/>
          <w:lang w:eastAsia="zh-CN"/>
        </w:rPr>
        <w:t>理委员会</w:t>
      </w:r>
      <w:r>
        <w:rPr>
          <w:rFonts w:hint="eastAsia" w:ascii="仿宋" w:hAnsi="仿宋" w:eastAsia="仿宋"/>
          <w:color w:val="000000" w:themeColor="text1"/>
          <w:sz w:val="28"/>
          <w:szCs w:val="28"/>
        </w:rPr>
        <w:t>对本项目进行</w:t>
      </w:r>
      <w:r>
        <w:rPr>
          <w:rFonts w:hint="eastAsia" w:ascii="仿宋" w:hAnsi="仿宋" w:eastAsia="仿宋"/>
          <w:color w:val="000000" w:themeColor="text1"/>
          <w:sz w:val="28"/>
          <w:szCs w:val="28"/>
          <w:lang w:eastAsia="zh-CN"/>
        </w:rPr>
        <w:t>询价</w:t>
      </w:r>
      <w:r>
        <w:rPr>
          <w:rFonts w:hint="eastAsia" w:ascii="仿宋" w:hAnsi="仿宋" w:eastAsia="仿宋"/>
          <w:color w:val="000000" w:themeColor="text1"/>
          <w:sz w:val="28"/>
          <w:szCs w:val="28"/>
        </w:rPr>
        <w:t>。</w:t>
      </w:r>
    </w:p>
    <w:p>
      <w:p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eastAsia" w:ascii="仿宋" w:hAnsi="仿宋" w:eastAsia="仿宋"/>
          <w:sz w:val="28"/>
          <w:szCs w:val="28"/>
        </w:rPr>
        <w:t>2.公布</w:t>
      </w:r>
      <w:r>
        <w:rPr>
          <w:rFonts w:hint="eastAsia" w:ascii="仿宋" w:hAnsi="仿宋" w:eastAsia="仿宋"/>
          <w:sz w:val="28"/>
          <w:szCs w:val="28"/>
          <w:lang w:eastAsia="zh-CN"/>
        </w:rPr>
        <w:t>询价</w:t>
      </w:r>
      <w:r>
        <w:rPr>
          <w:rFonts w:hint="eastAsia" w:ascii="仿宋" w:hAnsi="仿宋" w:eastAsia="仿宋"/>
          <w:sz w:val="28"/>
          <w:szCs w:val="28"/>
        </w:rPr>
        <w:t>结果时间：待结果确定后会及时通知，原则上只通知被选中的</w:t>
      </w:r>
      <w:r>
        <w:rPr>
          <w:rFonts w:hint="eastAsia" w:ascii="仿宋" w:hAnsi="仿宋" w:eastAsia="仿宋"/>
          <w:color w:val="000000"/>
          <w:spacing w:val="-8"/>
          <w:sz w:val="28"/>
          <w:szCs w:val="28"/>
          <w:lang w:eastAsia="zh-CN"/>
        </w:rPr>
        <w:t>询价</w:t>
      </w:r>
      <w:r>
        <w:rPr>
          <w:rFonts w:hint="eastAsia" w:ascii="仿宋" w:hAnsi="仿宋" w:eastAsia="仿宋"/>
          <w:color w:val="000000"/>
          <w:spacing w:val="-8"/>
          <w:sz w:val="28"/>
          <w:szCs w:val="28"/>
        </w:rPr>
        <w:t>响应方</w:t>
      </w:r>
      <w:r>
        <w:rPr>
          <w:rFonts w:hint="eastAsia" w:ascii="仿宋" w:hAnsi="仿宋" w:eastAsia="仿宋"/>
          <w:sz w:val="28"/>
          <w:szCs w:val="28"/>
        </w:rPr>
        <w:t>。对未被选中的</w:t>
      </w:r>
      <w:r>
        <w:rPr>
          <w:rFonts w:hint="eastAsia" w:ascii="仿宋" w:hAnsi="仿宋" w:eastAsia="仿宋"/>
          <w:color w:val="000000"/>
          <w:spacing w:val="-8"/>
          <w:sz w:val="28"/>
          <w:szCs w:val="28"/>
        </w:rPr>
        <w:t>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color w:val="000000"/>
          <w:sz w:val="28"/>
          <w:szCs w:val="28"/>
        </w:rPr>
        <w:t>十二、</w:t>
      </w:r>
      <w:r>
        <w:rPr>
          <w:rFonts w:hint="eastAsia" w:ascii="仿宋" w:hAnsi="仿宋" w:eastAsia="仿宋"/>
          <w:b/>
          <w:sz w:val="28"/>
          <w:szCs w:val="28"/>
        </w:rPr>
        <w:t>联系方式：</w:t>
      </w:r>
    </w:p>
    <w:p>
      <w:pPr>
        <w:rPr>
          <w:rFonts w:hint="eastAsia" w:ascii="仿宋_GB2312" w:eastAsia="仿宋_GB2312"/>
          <w:bCs/>
          <w:sz w:val="28"/>
          <w:szCs w:val="28"/>
          <w:lang w:eastAsia="zh-CN"/>
        </w:rPr>
      </w:pPr>
      <w:r>
        <w:rPr>
          <w:rFonts w:hint="eastAsia" w:ascii="仿宋" w:hAnsi="仿宋" w:eastAsia="仿宋"/>
          <w:sz w:val="28"/>
          <w:szCs w:val="28"/>
        </w:rPr>
        <w:t>业主：</w:t>
      </w:r>
      <w:r>
        <w:rPr>
          <w:rFonts w:hint="eastAsia" w:ascii="仿宋_GB2312" w:eastAsia="仿宋_GB2312"/>
          <w:bCs/>
          <w:sz w:val="28"/>
          <w:szCs w:val="28"/>
          <w:lang w:eastAsia="zh-CN"/>
        </w:rPr>
        <w:t>重庆机场集团有限公司航空物流园发展分公司</w:t>
      </w:r>
    </w:p>
    <w:p>
      <w:pPr>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旷静</w:t>
      </w:r>
    </w:p>
    <w:p>
      <w:pPr>
        <w:snapToGrid w:val="0"/>
        <w:spacing w:line="360" w:lineRule="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电话</w:t>
      </w:r>
      <w:r>
        <w:rPr>
          <w:rFonts w:hint="eastAsia" w:ascii="仿宋" w:hAnsi="仿宋" w:eastAsia="仿宋"/>
          <w:color w:val="000000" w:themeColor="text1"/>
          <w:sz w:val="28"/>
          <w:szCs w:val="28"/>
          <w:lang w:val="en-US" w:eastAsia="zh-CN"/>
        </w:rPr>
        <w:t xml:space="preserve">  （023）67155381</w:t>
      </w:r>
    </w:p>
    <w:p>
      <w:pPr>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 xml:space="preserve">传真                              </w:t>
      </w:r>
    </w:p>
    <w:p>
      <w:pPr>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邮编：</w:t>
      </w:r>
      <w:r>
        <w:rPr>
          <w:rFonts w:ascii="仿宋" w:hAnsi="仿宋" w:eastAsia="仿宋"/>
          <w:color w:val="000000" w:themeColor="text1"/>
          <w:sz w:val="28"/>
          <w:szCs w:val="28"/>
        </w:rPr>
        <w:t>401120</w:t>
      </w:r>
    </w:p>
    <w:p>
      <w:pPr>
        <w:snapToGrid w:val="0"/>
        <w:spacing w:line="360" w:lineRule="auto"/>
        <w:ind w:firstLine="539"/>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hint="eastAsia" w:ascii="仿宋_GB2312" w:hAnsi="宋体" w:eastAsia="仿宋_GB2312"/>
          <w:sz w:val="28"/>
          <w:szCs w:val="28"/>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w:t>
      </w:r>
    </w:p>
    <w:p>
      <w:pPr>
        <w:jc w:val="center"/>
        <w:rPr>
          <w:rFonts w:asci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．我方已仔细研究了</w:t>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w:t>
      </w:r>
      <w:r>
        <w:rPr>
          <w:rFonts w:hint="eastAsia" w:ascii="仿宋_GB2312" w:hAnsi="宋体" w:eastAsia="仿宋_GB2312"/>
          <w:sz w:val="28"/>
          <w:szCs w:val="28"/>
          <w:lang w:eastAsia="zh-CN"/>
        </w:rPr>
        <w:t>比选</w:t>
      </w:r>
      <w:r>
        <w:rPr>
          <w:rFonts w:hint="eastAsia" w:ascii="仿宋_GB2312" w:hAnsi="宋体" w:eastAsia="仿宋_GB2312"/>
          <w:sz w:val="28"/>
          <w:szCs w:val="28"/>
        </w:rPr>
        <w:t>文件的全部内容，愿意以人民币</w:t>
      </w:r>
      <w:r>
        <w:rPr>
          <w:rFonts w:hint="eastAsia" w:ascii="仿宋_GB2312" w:hAnsi="宋体" w:eastAsia="仿宋_GB2312"/>
          <w:sz w:val="28"/>
          <w:szCs w:val="28"/>
          <w:u w:val="single"/>
        </w:rPr>
        <w:t>（大写）</w:t>
      </w:r>
      <w:r>
        <w:rPr>
          <w:rFonts w:ascii="仿宋_GB2312" w:hAnsi="宋体" w:eastAsia="仿宋_GB2312"/>
          <w:sz w:val="28"/>
          <w:szCs w:val="28"/>
          <w:u w:val="single"/>
        </w:rPr>
        <w:t xml:space="preserve">          </w:t>
      </w:r>
      <w:r>
        <w:rPr>
          <w:rFonts w:ascii="仿宋_GB2312" w:hAnsi="宋体" w:eastAsia="仿宋_GB2312"/>
          <w:sz w:val="28"/>
          <w:szCs w:val="28"/>
          <w:u w:val="single"/>
        </w:rPr>
        <w:tab/>
      </w:r>
      <w:r>
        <w:rPr>
          <w:rFonts w:hint="eastAsia" w:ascii="仿宋_GB2312" w:hAnsi="宋体" w:eastAsia="仿宋_GB2312"/>
          <w:sz w:val="28"/>
          <w:szCs w:val="28"/>
          <w:u w:val="single"/>
        </w:rPr>
        <w:t>元（</w:t>
      </w:r>
      <w:r>
        <w:rPr>
          <w:rFonts w:ascii="仿宋_GB2312" w:hAnsi="宋体" w:eastAsia="仿宋_GB2312"/>
          <w:sz w:val="28"/>
          <w:szCs w:val="28"/>
          <w:u w:val="single"/>
        </w:rPr>
        <w:t>¥</w:t>
      </w:r>
      <w:r>
        <w:rPr>
          <w:rFonts w:ascii="仿宋_GB2312" w:hAnsi="宋体" w:eastAsia="仿宋_GB2312"/>
          <w:sz w:val="28"/>
          <w:szCs w:val="28"/>
          <w:u w:val="single"/>
        </w:rPr>
        <w:tab/>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w:t>
      </w:r>
      <w:r>
        <w:rPr>
          <w:rFonts w:hint="eastAsia" w:ascii="仿宋_GB2312" w:hAnsi="宋体" w:eastAsia="仿宋_GB2312"/>
          <w:sz w:val="28"/>
          <w:szCs w:val="28"/>
          <w:u w:val="single"/>
          <w:lang w:eastAsia="zh-CN"/>
        </w:rPr>
        <w:t>不</w:t>
      </w:r>
      <w:r>
        <w:rPr>
          <w:rFonts w:hint="eastAsia" w:ascii="仿宋_GB2312" w:hAnsi="宋体" w:eastAsia="仿宋_GB2312"/>
          <w:sz w:val="28"/>
          <w:szCs w:val="28"/>
        </w:rPr>
        <w:t>含增值税专用发票的总报价，</w:t>
      </w:r>
      <w:r>
        <w:rPr>
          <w:rFonts w:hint="eastAsia" w:ascii="仿宋_GB2312" w:hAnsi="宋体" w:eastAsia="仿宋_GB2312"/>
          <w:sz w:val="28"/>
          <w:szCs w:val="28"/>
          <w:lang w:eastAsia="zh-CN"/>
        </w:rPr>
        <w:t>其中垃圾桶</w:t>
      </w:r>
      <w:r>
        <w:rPr>
          <w:rFonts w:hint="eastAsia" w:ascii="仿宋_GB2312" w:hAnsi="宋体" w:eastAsia="仿宋_GB2312"/>
          <w:sz w:val="28"/>
          <w:szCs w:val="28"/>
        </w:rPr>
        <w:t>烟</w:t>
      </w:r>
      <w:r>
        <w:rPr>
          <w:rFonts w:hint="eastAsia" w:ascii="仿宋_GB2312" w:hAnsi="宋体" w:eastAsia="仿宋_GB2312"/>
          <w:sz w:val="28"/>
          <w:szCs w:val="28"/>
          <w:lang w:eastAsia="zh-CN"/>
        </w:rPr>
        <w:t>灰桶不锈钢烟灰柱的不含税价为（</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）元；</w:t>
      </w:r>
      <w:r>
        <w:rPr>
          <w:rFonts w:hint="eastAsia" w:ascii="仿宋_GB2312" w:hAnsi="宋体" w:eastAsia="仿宋_GB2312"/>
          <w:sz w:val="28"/>
          <w:szCs w:val="28"/>
        </w:rPr>
        <w:t>增值税率</w:t>
      </w:r>
      <w:r>
        <w:rPr>
          <w:rFonts w:ascii="仿宋_GB2312" w:hAnsi="宋体" w:eastAsia="仿宋_GB2312"/>
          <w:sz w:val="28"/>
          <w:szCs w:val="28"/>
          <w:u w:val="single"/>
        </w:rPr>
        <w:t xml:space="preserve">      %</w:t>
      </w:r>
      <w:r>
        <w:rPr>
          <w:rFonts w:hint="eastAsia" w:ascii="仿宋_GB2312" w:hAnsi="宋体" w:eastAsia="仿宋_GB2312"/>
          <w:sz w:val="28"/>
          <w:szCs w:val="28"/>
          <w:u w:val="single"/>
          <w:lang w:eastAsia="zh-CN"/>
        </w:rPr>
        <w:t>；</w:t>
      </w:r>
      <w:r>
        <w:rPr>
          <w:rFonts w:hint="eastAsia" w:ascii="仿宋_GB2312" w:hAnsi="宋体" w:eastAsia="仿宋_GB2312"/>
          <w:sz w:val="28"/>
          <w:szCs w:val="28"/>
          <w:lang w:eastAsia="zh-CN"/>
        </w:rPr>
        <w:t>垃圾分类标识不含税价为（）元，</w:t>
      </w:r>
      <w:r>
        <w:rPr>
          <w:rFonts w:hint="eastAsia" w:ascii="仿宋_GB2312" w:hAnsi="宋体" w:eastAsia="仿宋_GB2312"/>
          <w:sz w:val="28"/>
          <w:szCs w:val="28"/>
        </w:rPr>
        <w:t>增值税率</w:t>
      </w:r>
      <w:r>
        <w:rPr>
          <w:rFonts w:ascii="仿宋_GB2312" w:hAnsi="宋体" w:eastAsia="仿宋_GB2312"/>
          <w:sz w:val="28"/>
          <w:szCs w:val="28"/>
          <w:u w:val="single"/>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按合同约定实施和完成承包项目的全部工作。</w:t>
      </w:r>
    </w:p>
    <w:p>
      <w:pPr>
        <w:autoSpaceDE w:val="0"/>
        <w:autoSpaceDN w:val="0"/>
        <w:adjustRightInd w:val="0"/>
        <w:spacing w:before="15"/>
        <w:ind w:right="-20"/>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．我方承诺在</w:t>
      </w:r>
      <w:r>
        <w:rPr>
          <w:rFonts w:hint="eastAsia" w:ascii="仿宋_GB2312" w:hAnsi="宋体" w:eastAsia="仿宋_GB2312"/>
          <w:sz w:val="28"/>
          <w:szCs w:val="28"/>
          <w:lang w:eastAsia="zh-CN"/>
        </w:rPr>
        <w:t>比选</w:t>
      </w:r>
      <w:r>
        <w:rPr>
          <w:rFonts w:hint="eastAsia" w:ascii="仿宋_GB2312" w:hAnsi="宋体" w:eastAsia="仿宋_GB2312"/>
          <w:sz w:val="28"/>
          <w:szCs w:val="28"/>
        </w:rPr>
        <w:t>有效期内不修改、撤销</w:t>
      </w:r>
      <w:r>
        <w:rPr>
          <w:rFonts w:hint="eastAsia" w:ascii="仿宋_GB2312" w:hAnsi="宋体" w:eastAsia="仿宋_GB2312"/>
          <w:sz w:val="28"/>
          <w:szCs w:val="28"/>
          <w:lang w:eastAsia="zh-CN"/>
        </w:rPr>
        <w:t>询价</w:t>
      </w:r>
      <w:r>
        <w:rPr>
          <w:rFonts w:hint="eastAsia" w:ascii="仿宋_GB2312" w:hAnsi="宋体" w:eastAsia="仿宋_GB2312"/>
          <w:sz w:val="28"/>
          <w:szCs w:val="28"/>
        </w:rPr>
        <w:t>文件。</w:t>
      </w:r>
    </w:p>
    <w:p>
      <w:pPr>
        <w:autoSpaceDE w:val="0"/>
        <w:autoSpaceDN w:val="0"/>
        <w:adjustRightInd w:val="0"/>
        <w:ind w:right="-2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．我方在此声明，所递交的</w:t>
      </w:r>
      <w:r>
        <w:rPr>
          <w:rFonts w:hint="eastAsia" w:ascii="仿宋_GB2312" w:hAnsi="宋体" w:eastAsia="仿宋_GB2312"/>
          <w:sz w:val="28"/>
          <w:szCs w:val="28"/>
          <w:lang w:eastAsia="zh-CN"/>
        </w:rPr>
        <w:t>询价</w:t>
      </w:r>
      <w:r>
        <w:rPr>
          <w:rFonts w:hint="eastAsia" w:ascii="仿宋_GB2312" w:hAnsi="宋体" w:eastAsia="仿宋_GB2312"/>
          <w:sz w:val="28"/>
          <w:szCs w:val="28"/>
        </w:rPr>
        <w:t>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．除非达到另外协议并生效，你方的成交通知书和本</w:t>
      </w:r>
      <w:r>
        <w:rPr>
          <w:rFonts w:hint="eastAsia" w:ascii="仿宋_GB2312" w:hAnsi="宋体" w:eastAsia="仿宋_GB2312"/>
          <w:sz w:val="28"/>
          <w:szCs w:val="28"/>
          <w:lang w:eastAsia="zh-CN"/>
        </w:rPr>
        <w:t>比选</w:t>
      </w:r>
      <w:r>
        <w:rPr>
          <w:rFonts w:hint="eastAsia" w:ascii="仿宋_GB2312" w:hAnsi="宋体" w:eastAsia="仿宋_GB2312"/>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lang w:eastAsia="zh-CN"/>
        </w:rPr>
        <w:t>询价</w:t>
      </w:r>
      <w:r>
        <w:rPr>
          <w:rFonts w:hint="eastAsia" w:ascii="仿宋_GB2312" w:hAnsi="宋体" w:eastAsia="仿宋_GB2312"/>
          <w:sz w:val="28"/>
          <w:szCs w:val="28"/>
        </w:rPr>
        <w:t>人：</w:t>
      </w:r>
      <w:r>
        <w:rPr>
          <w:rFonts w:ascii="仿宋_GB2312" w:hAnsi="宋体" w:eastAsia="仿宋_GB2312"/>
          <w:sz w:val="28"/>
          <w:szCs w:val="28"/>
          <w:u w:val="single"/>
        </w:rPr>
        <w:t xml:space="preserve">                     </w:t>
      </w:r>
      <w:r>
        <w:rPr>
          <w:rFonts w:hint="eastAsia" w:ascii="仿宋_GB2312" w:hAnsi="宋体" w:eastAsia="仿宋_GB2312"/>
          <w:sz w:val="28"/>
          <w:szCs w:val="28"/>
          <w:u w:val="single"/>
        </w:rPr>
        <w:t>（盖单位公章）</w:t>
      </w:r>
      <w:r>
        <w:rPr>
          <w:rFonts w:ascii="仿宋_GB2312" w:hAnsi="宋体" w:eastAsia="仿宋_GB2312"/>
          <w:sz w:val="28"/>
          <w:szCs w:val="28"/>
          <w:u w:val="single"/>
        </w:rPr>
        <w:t xml:space="preserve">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ascii="仿宋_GB2312" w:hAnsi="宋体" w:eastAsia="仿宋_GB2312"/>
          <w:sz w:val="28"/>
          <w:szCs w:val="28"/>
          <w:u w:val="single"/>
        </w:rPr>
        <w:tab/>
      </w:r>
      <w:r>
        <w:rPr>
          <w:rFonts w:hint="eastAsia" w:ascii="仿宋_GB2312" w:hAnsi="宋体" w:eastAsia="仿宋_GB2312"/>
          <w:sz w:val="28"/>
          <w:szCs w:val="28"/>
          <w:u w:val="single"/>
        </w:rPr>
        <w:t>（签字）</w:t>
      </w:r>
      <w:r>
        <w:rPr>
          <w:rFonts w:ascii="仿宋_GB2312" w:hAnsi="宋体" w:eastAsia="仿宋_GB2312"/>
          <w:sz w:val="28"/>
          <w:szCs w:val="28"/>
          <w:u w:val="single"/>
        </w:rPr>
        <w:t xml:space="preserve"> </w:t>
      </w:r>
    </w:p>
    <w:p>
      <w:pPr>
        <w:tabs>
          <w:tab w:val="left" w:pos="6325"/>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7140"/>
          <w:tab w:val="left" w:pos="7560"/>
          <w:tab w:val="left" w:pos="8300"/>
        </w:tabs>
        <w:autoSpaceDE w:val="0"/>
        <w:autoSpaceDN w:val="0"/>
        <w:adjustRightInd w:val="0"/>
        <w:spacing w:line="360" w:lineRule="auto"/>
        <w:ind w:right="210" w:firstLine="476" w:firstLineChars="170"/>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widowControl/>
        <w:jc w:val="left"/>
        <w:rPr>
          <w:rFonts w:ascii="宋体" w:cs="宋体"/>
          <w:szCs w:val="21"/>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仿宋" w:hAnsi="仿宋" w:eastAsia="仿宋"/>
          <w:b/>
          <w:sz w:val="32"/>
          <w:szCs w:val="32"/>
        </w:rPr>
      </w:pPr>
      <w:r>
        <w:rPr>
          <w:rFonts w:hint="eastAsia" w:ascii="仿宋" w:hAnsi="仿宋" w:eastAsia="仿宋"/>
          <w:b/>
          <w:sz w:val="32"/>
          <w:szCs w:val="32"/>
        </w:rPr>
        <w:t>附件</w:t>
      </w:r>
      <w:r>
        <w:rPr>
          <w:rFonts w:hint="eastAsia" w:ascii="仿宋" w:hAnsi="仿宋" w:eastAsia="仿宋"/>
          <w:b/>
          <w:sz w:val="32"/>
          <w:szCs w:val="32"/>
          <w:lang w:val="en-US" w:eastAsia="zh-CN"/>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询价</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（投标人名称）的法定代表人。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520" w:firstLineChars="900"/>
        <w:jc w:val="left"/>
        <w:rPr>
          <w:rFonts w:ascii="仿宋" w:hAnsi="仿宋" w:eastAsia="仿宋"/>
          <w:kern w:val="0"/>
          <w:sz w:val="28"/>
          <w:szCs w:val="28"/>
        </w:rPr>
      </w:pPr>
      <w:r>
        <w:rPr>
          <w:rFonts w:hint="eastAsia" w:ascii="仿宋" w:hAnsi="仿宋" w:eastAsia="仿宋"/>
          <w:kern w:val="0"/>
          <w:sz w:val="28"/>
          <w:szCs w:val="28"/>
        </w:rPr>
        <w:t>投标人：</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rPr>
          <w:rFonts w:ascii="仿宋" w:hAnsi="仿宋" w:eastAsia="仿宋"/>
        </w:rPr>
      </w:pPr>
    </w:p>
    <w:p>
      <w:pPr>
        <w:rPr>
          <w:rFonts w:ascii="仿宋" w:hAnsi="仿宋" w:eastAsia="仿宋"/>
        </w:rPr>
      </w:pP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询价</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w:t>
      </w:r>
      <w:r>
        <w:rPr>
          <w:rFonts w:hint="eastAsia" w:ascii="仿宋" w:hAnsi="仿宋" w:eastAsia="仿宋"/>
          <w:sz w:val="28"/>
          <w:szCs w:val="28"/>
          <w:lang w:val="en-US" w:eastAsia="zh-CN"/>
        </w:rPr>
        <w:t>20</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footerReference r:id="rId3" w:type="default"/>
      <w:pgSz w:w="11850" w:h="16783"/>
      <w:pgMar w:top="1440" w:right="1803" w:bottom="1134" w:left="1803"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Consolas"/>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21</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DA7F9"/>
    <w:multiLevelType w:val="singleLevel"/>
    <w:tmpl w:val="8E3DA7F9"/>
    <w:lvl w:ilvl="0" w:tentative="0">
      <w:start w:val="1"/>
      <w:numFmt w:val="chineseCounting"/>
      <w:suff w:val="nothing"/>
      <w:lvlText w:val="%1、"/>
      <w:lvlJc w:val="left"/>
      <w:rPr>
        <w:rFonts w:hint="eastAsia"/>
      </w:rPr>
    </w:lvl>
  </w:abstractNum>
  <w:abstractNum w:abstractNumId="1">
    <w:nsid w:val="A971BF4F"/>
    <w:multiLevelType w:val="singleLevel"/>
    <w:tmpl w:val="A971BF4F"/>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0"/>
  <w:defaultTabStop w:val="420"/>
  <w:drawingGridHorizontalSpacing w:val="105"/>
  <w:drawingGridVerticalSpacing w:val="158"/>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0D1"/>
    <w:rsid w:val="0005588C"/>
    <w:rsid w:val="00056869"/>
    <w:rsid w:val="000611DA"/>
    <w:rsid w:val="000631F6"/>
    <w:rsid w:val="00063CCA"/>
    <w:rsid w:val="00073A28"/>
    <w:rsid w:val="000740F0"/>
    <w:rsid w:val="00076511"/>
    <w:rsid w:val="000825D0"/>
    <w:rsid w:val="000926C8"/>
    <w:rsid w:val="000A1020"/>
    <w:rsid w:val="000A3B23"/>
    <w:rsid w:val="000A685B"/>
    <w:rsid w:val="000B0277"/>
    <w:rsid w:val="000B4109"/>
    <w:rsid w:val="000B753E"/>
    <w:rsid w:val="000B7659"/>
    <w:rsid w:val="000C01AD"/>
    <w:rsid w:val="000C02DD"/>
    <w:rsid w:val="000D521A"/>
    <w:rsid w:val="000E2F2F"/>
    <w:rsid w:val="000E5E1E"/>
    <w:rsid w:val="000E6420"/>
    <w:rsid w:val="000F3310"/>
    <w:rsid w:val="000F4E07"/>
    <w:rsid w:val="00103882"/>
    <w:rsid w:val="00106E21"/>
    <w:rsid w:val="00111064"/>
    <w:rsid w:val="00112151"/>
    <w:rsid w:val="00121729"/>
    <w:rsid w:val="00122C5D"/>
    <w:rsid w:val="00126337"/>
    <w:rsid w:val="0013184B"/>
    <w:rsid w:val="00140784"/>
    <w:rsid w:val="00146445"/>
    <w:rsid w:val="001505AE"/>
    <w:rsid w:val="00150869"/>
    <w:rsid w:val="001559E7"/>
    <w:rsid w:val="00163E7C"/>
    <w:rsid w:val="0017226E"/>
    <w:rsid w:val="00180D31"/>
    <w:rsid w:val="00181249"/>
    <w:rsid w:val="00182F1E"/>
    <w:rsid w:val="001849E2"/>
    <w:rsid w:val="0018716E"/>
    <w:rsid w:val="0018776C"/>
    <w:rsid w:val="0019019A"/>
    <w:rsid w:val="00192AF6"/>
    <w:rsid w:val="00196FD2"/>
    <w:rsid w:val="001A0357"/>
    <w:rsid w:val="001A440C"/>
    <w:rsid w:val="001A612C"/>
    <w:rsid w:val="001B2576"/>
    <w:rsid w:val="001C452E"/>
    <w:rsid w:val="001D0060"/>
    <w:rsid w:val="001D3F54"/>
    <w:rsid w:val="001E04F7"/>
    <w:rsid w:val="001E0869"/>
    <w:rsid w:val="001E0DD3"/>
    <w:rsid w:val="001F2E0C"/>
    <w:rsid w:val="001F52E9"/>
    <w:rsid w:val="00202EEA"/>
    <w:rsid w:val="002111D0"/>
    <w:rsid w:val="00211F4C"/>
    <w:rsid w:val="002135F8"/>
    <w:rsid w:val="002170C0"/>
    <w:rsid w:val="00223328"/>
    <w:rsid w:val="00224DEB"/>
    <w:rsid w:val="002267B0"/>
    <w:rsid w:val="00230435"/>
    <w:rsid w:val="002334E4"/>
    <w:rsid w:val="002362BD"/>
    <w:rsid w:val="002363CC"/>
    <w:rsid w:val="002369A5"/>
    <w:rsid w:val="00264544"/>
    <w:rsid w:val="00264C59"/>
    <w:rsid w:val="00266533"/>
    <w:rsid w:val="00275334"/>
    <w:rsid w:val="0028006E"/>
    <w:rsid w:val="002834F6"/>
    <w:rsid w:val="00286536"/>
    <w:rsid w:val="00287E0A"/>
    <w:rsid w:val="002B75E8"/>
    <w:rsid w:val="002B7767"/>
    <w:rsid w:val="002C46DA"/>
    <w:rsid w:val="002C52EB"/>
    <w:rsid w:val="002D6F8E"/>
    <w:rsid w:val="002E2503"/>
    <w:rsid w:val="002E5FDE"/>
    <w:rsid w:val="002F5A5B"/>
    <w:rsid w:val="002F6E00"/>
    <w:rsid w:val="002F7CA1"/>
    <w:rsid w:val="002F7F31"/>
    <w:rsid w:val="00300C2A"/>
    <w:rsid w:val="00306DDC"/>
    <w:rsid w:val="00311324"/>
    <w:rsid w:val="00314DB6"/>
    <w:rsid w:val="00317034"/>
    <w:rsid w:val="00321D31"/>
    <w:rsid w:val="00332BF8"/>
    <w:rsid w:val="00333793"/>
    <w:rsid w:val="00333BD0"/>
    <w:rsid w:val="00340E6F"/>
    <w:rsid w:val="00344856"/>
    <w:rsid w:val="0034710B"/>
    <w:rsid w:val="00347BDE"/>
    <w:rsid w:val="00351066"/>
    <w:rsid w:val="003534A4"/>
    <w:rsid w:val="00355CC7"/>
    <w:rsid w:val="00357C50"/>
    <w:rsid w:val="00367FAA"/>
    <w:rsid w:val="00370602"/>
    <w:rsid w:val="003723A5"/>
    <w:rsid w:val="003840CF"/>
    <w:rsid w:val="00391B61"/>
    <w:rsid w:val="0039415B"/>
    <w:rsid w:val="00396376"/>
    <w:rsid w:val="003A2048"/>
    <w:rsid w:val="003A228A"/>
    <w:rsid w:val="003A2974"/>
    <w:rsid w:val="003A4373"/>
    <w:rsid w:val="003B3EA4"/>
    <w:rsid w:val="003B6B76"/>
    <w:rsid w:val="003B7133"/>
    <w:rsid w:val="003B79B9"/>
    <w:rsid w:val="003C7185"/>
    <w:rsid w:val="003D51CB"/>
    <w:rsid w:val="003D6803"/>
    <w:rsid w:val="003E074E"/>
    <w:rsid w:val="003F167C"/>
    <w:rsid w:val="003F78CE"/>
    <w:rsid w:val="004029CE"/>
    <w:rsid w:val="00413E38"/>
    <w:rsid w:val="00413F22"/>
    <w:rsid w:val="00420115"/>
    <w:rsid w:val="00422256"/>
    <w:rsid w:val="00422C70"/>
    <w:rsid w:val="004230A6"/>
    <w:rsid w:val="00424AC5"/>
    <w:rsid w:val="00424B34"/>
    <w:rsid w:val="00425623"/>
    <w:rsid w:val="00425B77"/>
    <w:rsid w:val="0042735B"/>
    <w:rsid w:val="00441215"/>
    <w:rsid w:val="00441244"/>
    <w:rsid w:val="00445377"/>
    <w:rsid w:val="00452541"/>
    <w:rsid w:val="00453F3C"/>
    <w:rsid w:val="00455CFC"/>
    <w:rsid w:val="004655F4"/>
    <w:rsid w:val="004673CE"/>
    <w:rsid w:val="00467F45"/>
    <w:rsid w:val="00484109"/>
    <w:rsid w:val="00484617"/>
    <w:rsid w:val="004852E0"/>
    <w:rsid w:val="00485F00"/>
    <w:rsid w:val="00490CF8"/>
    <w:rsid w:val="00493AD9"/>
    <w:rsid w:val="0049584A"/>
    <w:rsid w:val="004A06D9"/>
    <w:rsid w:val="004A086C"/>
    <w:rsid w:val="004A0C85"/>
    <w:rsid w:val="004A743B"/>
    <w:rsid w:val="004B146A"/>
    <w:rsid w:val="004B3DF7"/>
    <w:rsid w:val="004B7D2E"/>
    <w:rsid w:val="004C0973"/>
    <w:rsid w:val="004C0C56"/>
    <w:rsid w:val="004C5143"/>
    <w:rsid w:val="004D050B"/>
    <w:rsid w:val="004D79C1"/>
    <w:rsid w:val="004E45E3"/>
    <w:rsid w:val="004F2FAB"/>
    <w:rsid w:val="004F307F"/>
    <w:rsid w:val="004F3384"/>
    <w:rsid w:val="004F3F16"/>
    <w:rsid w:val="0052266E"/>
    <w:rsid w:val="00550BF1"/>
    <w:rsid w:val="005516B5"/>
    <w:rsid w:val="00566ECB"/>
    <w:rsid w:val="00574DC0"/>
    <w:rsid w:val="005752D7"/>
    <w:rsid w:val="005766B4"/>
    <w:rsid w:val="0058393D"/>
    <w:rsid w:val="005863EB"/>
    <w:rsid w:val="00591811"/>
    <w:rsid w:val="00591F31"/>
    <w:rsid w:val="005B2C03"/>
    <w:rsid w:val="005B5E40"/>
    <w:rsid w:val="005B623B"/>
    <w:rsid w:val="005B6DF6"/>
    <w:rsid w:val="005B72F8"/>
    <w:rsid w:val="005C243E"/>
    <w:rsid w:val="005C4CBA"/>
    <w:rsid w:val="005C724C"/>
    <w:rsid w:val="005C7814"/>
    <w:rsid w:val="005C79AE"/>
    <w:rsid w:val="005E1B71"/>
    <w:rsid w:val="005E467A"/>
    <w:rsid w:val="005E60A7"/>
    <w:rsid w:val="005F4A5B"/>
    <w:rsid w:val="006078C9"/>
    <w:rsid w:val="00610FBA"/>
    <w:rsid w:val="00611F5D"/>
    <w:rsid w:val="00622C32"/>
    <w:rsid w:val="00626931"/>
    <w:rsid w:val="006331B5"/>
    <w:rsid w:val="006448B9"/>
    <w:rsid w:val="00646279"/>
    <w:rsid w:val="0064646F"/>
    <w:rsid w:val="0064740A"/>
    <w:rsid w:val="00653540"/>
    <w:rsid w:val="006603E9"/>
    <w:rsid w:val="0066539F"/>
    <w:rsid w:val="0066710E"/>
    <w:rsid w:val="0066722C"/>
    <w:rsid w:val="006700E0"/>
    <w:rsid w:val="006720C6"/>
    <w:rsid w:val="0067214B"/>
    <w:rsid w:val="00677C64"/>
    <w:rsid w:val="006862DB"/>
    <w:rsid w:val="00693C5F"/>
    <w:rsid w:val="00694CA2"/>
    <w:rsid w:val="00694E61"/>
    <w:rsid w:val="006964FC"/>
    <w:rsid w:val="006B78A8"/>
    <w:rsid w:val="006C49D1"/>
    <w:rsid w:val="006D7AE0"/>
    <w:rsid w:val="006E0BFC"/>
    <w:rsid w:val="006E7700"/>
    <w:rsid w:val="006E7EC8"/>
    <w:rsid w:val="006F0D23"/>
    <w:rsid w:val="006F3E6E"/>
    <w:rsid w:val="00701961"/>
    <w:rsid w:val="0070395B"/>
    <w:rsid w:val="007118BA"/>
    <w:rsid w:val="00722EF1"/>
    <w:rsid w:val="0073168F"/>
    <w:rsid w:val="00736352"/>
    <w:rsid w:val="007540E5"/>
    <w:rsid w:val="007544BD"/>
    <w:rsid w:val="00760A24"/>
    <w:rsid w:val="0076301C"/>
    <w:rsid w:val="00766B00"/>
    <w:rsid w:val="0077011C"/>
    <w:rsid w:val="0078149A"/>
    <w:rsid w:val="00783017"/>
    <w:rsid w:val="00783450"/>
    <w:rsid w:val="007872F8"/>
    <w:rsid w:val="00790155"/>
    <w:rsid w:val="00792519"/>
    <w:rsid w:val="007950D5"/>
    <w:rsid w:val="007A23F4"/>
    <w:rsid w:val="007A25BA"/>
    <w:rsid w:val="007B21E1"/>
    <w:rsid w:val="007C1F70"/>
    <w:rsid w:val="007E0D23"/>
    <w:rsid w:val="007E19FA"/>
    <w:rsid w:val="007E4029"/>
    <w:rsid w:val="007F0083"/>
    <w:rsid w:val="008137A3"/>
    <w:rsid w:val="0081544B"/>
    <w:rsid w:val="00833172"/>
    <w:rsid w:val="00835B1F"/>
    <w:rsid w:val="008567DD"/>
    <w:rsid w:val="00860183"/>
    <w:rsid w:val="008602A9"/>
    <w:rsid w:val="008739D9"/>
    <w:rsid w:val="008760AC"/>
    <w:rsid w:val="00877371"/>
    <w:rsid w:val="008800A8"/>
    <w:rsid w:val="00883BBC"/>
    <w:rsid w:val="00883E00"/>
    <w:rsid w:val="008903C7"/>
    <w:rsid w:val="008913B8"/>
    <w:rsid w:val="008A0078"/>
    <w:rsid w:val="008A4513"/>
    <w:rsid w:val="008B073C"/>
    <w:rsid w:val="008B5D37"/>
    <w:rsid w:val="008C0AE9"/>
    <w:rsid w:val="008C5EA9"/>
    <w:rsid w:val="008C647D"/>
    <w:rsid w:val="008C74BC"/>
    <w:rsid w:val="008E2C9F"/>
    <w:rsid w:val="009325DE"/>
    <w:rsid w:val="00941604"/>
    <w:rsid w:val="00942CCC"/>
    <w:rsid w:val="0096421C"/>
    <w:rsid w:val="00964670"/>
    <w:rsid w:val="00966469"/>
    <w:rsid w:val="00973BDE"/>
    <w:rsid w:val="0098241C"/>
    <w:rsid w:val="0098379E"/>
    <w:rsid w:val="009865AA"/>
    <w:rsid w:val="00990CE0"/>
    <w:rsid w:val="009B30A2"/>
    <w:rsid w:val="009B4B99"/>
    <w:rsid w:val="009C1103"/>
    <w:rsid w:val="009D00D9"/>
    <w:rsid w:val="009D1F92"/>
    <w:rsid w:val="009D2894"/>
    <w:rsid w:val="009D3886"/>
    <w:rsid w:val="009D520A"/>
    <w:rsid w:val="009D5971"/>
    <w:rsid w:val="009E193A"/>
    <w:rsid w:val="009F1A57"/>
    <w:rsid w:val="009F2A46"/>
    <w:rsid w:val="00A079DB"/>
    <w:rsid w:val="00A11841"/>
    <w:rsid w:val="00A12488"/>
    <w:rsid w:val="00A160FD"/>
    <w:rsid w:val="00A279E1"/>
    <w:rsid w:val="00A307C5"/>
    <w:rsid w:val="00A50ABE"/>
    <w:rsid w:val="00A51639"/>
    <w:rsid w:val="00A64B28"/>
    <w:rsid w:val="00A65658"/>
    <w:rsid w:val="00A6743C"/>
    <w:rsid w:val="00A70F36"/>
    <w:rsid w:val="00A72252"/>
    <w:rsid w:val="00A73E6F"/>
    <w:rsid w:val="00A74F64"/>
    <w:rsid w:val="00A86DA5"/>
    <w:rsid w:val="00A9211E"/>
    <w:rsid w:val="00A968D7"/>
    <w:rsid w:val="00AA3DFD"/>
    <w:rsid w:val="00AA7541"/>
    <w:rsid w:val="00AB18AB"/>
    <w:rsid w:val="00AD0062"/>
    <w:rsid w:val="00AD1B3B"/>
    <w:rsid w:val="00AD3C9F"/>
    <w:rsid w:val="00AD460B"/>
    <w:rsid w:val="00AD5218"/>
    <w:rsid w:val="00AE1E61"/>
    <w:rsid w:val="00AF1739"/>
    <w:rsid w:val="00AF660E"/>
    <w:rsid w:val="00AF6F3E"/>
    <w:rsid w:val="00B07E47"/>
    <w:rsid w:val="00B2282B"/>
    <w:rsid w:val="00B22AD5"/>
    <w:rsid w:val="00B23001"/>
    <w:rsid w:val="00B25EE5"/>
    <w:rsid w:val="00B27562"/>
    <w:rsid w:val="00B31151"/>
    <w:rsid w:val="00B3115C"/>
    <w:rsid w:val="00B32A1A"/>
    <w:rsid w:val="00B44196"/>
    <w:rsid w:val="00B524E2"/>
    <w:rsid w:val="00B67589"/>
    <w:rsid w:val="00B719CE"/>
    <w:rsid w:val="00B73FE8"/>
    <w:rsid w:val="00B81C3E"/>
    <w:rsid w:val="00B83591"/>
    <w:rsid w:val="00B922F6"/>
    <w:rsid w:val="00BA0571"/>
    <w:rsid w:val="00BA1401"/>
    <w:rsid w:val="00BA1D26"/>
    <w:rsid w:val="00BB07FB"/>
    <w:rsid w:val="00BB0CC3"/>
    <w:rsid w:val="00BC4195"/>
    <w:rsid w:val="00BC5FA1"/>
    <w:rsid w:val="00BE72AF"/>
    <w:rsid w:val="00BF544F"/>
    <w:rsid w:val="00BF6254"/>
    <w:rsid w:val="00C03881"/>
    <w:rsid w:val="00C062CB"/>
    <w:rsid w:val="00C071B6"/>
    <w:rsid w:val="00C25DD0"/>
    <w:rsid w:val="00C33B30"/>
    <w:rsid w:val="00C36C02"/>
    <w:rsid w:val="00C3798E"/>
    <w:rsid w:val="00C4369F"/>
    <w:rsid w:val="00C43B58"/>
    <w:rsid w:val="00C43FDF"/>
    <w:rsid w:val="00C525AC"/>
    <w:rsid w:val="00C60D6B"/>
    <w:rsid w:val="00C63657"/>
    <w:rsid w:val="00C636E6"/>
    <w:rsid w:val="00C643C9"/>
    <w:rsid w:val="00C6512E"/>
    <w:rsid w:val="00C745A1"/>
    <w:rsid w:val="00C7596B"/>
    <w:rsid w:val="00C80539"/>
    <w:rsid w:val="00C826C9"/>
    <w:rsid w:val="00C9189F"/>
    <w:rsid w:val="00C93570"/>
    <w:rsid w:val="00CA22C7"/>
    <w:rsid w:val="00CA3DE6"/>
    <w:rsid w:val="00CC2123"/>
    <w:rsid w:val="00CC2C5D"/>
    <w:rsid w:val="00CD2F15"/>
    <w:rsid w:val="00CF5BF8"/>
    <w:rsid w:val="00CF7A22"/>
    <w:rsid w:val="00D020F6"/>
    <w:rsid w:val="00D10A6C"/>
    <w:rsid w:val="00D125EB"/>
    <w:rsid w:val="00D149F1"/>
    <w:rsid w:val="00D14BDB"/>
    <w:rsid w:val="00D213EF"/>
    <w:rsid w:val="00D45135"/>
    <w:rsid w:val="00D47F13"/>
    <w:rsid w:val="00D54067"/>
    <w:rsid w:val="00D63B4A"/>
    <w:rsid w:val="00D64587"/>
    <w:rsid w:val="00D66438"/>
    <w:rsid w:val="00D75600"/>
    <w:rsid w:val="00D7607F"/>
    <w:rsid w:val="00D80CA9"/>
    <w:rsid w:val="00D81DC5"/>
    <w:rsid w:val="00D83800"/>
    <w:rsid w:val="00D95CF0"/>
    <w:rsid w:val="00DA1CBE"/>
    <w:rsid w:val="00DA71B8"/>
    <w:rsid w:val="00DB0111"/>
    <w:rsid w:val="00DB73DB"/>
    <w:rsid w:val="00DC1E62"/>
    <w:rsid w:val="00DD6002"/>
    <w:rsid w:val="00DD7E4C"/>
    <w:rsid w:val="00DF0117"/>
    <w:rsid w:val="00DF18B6"/>
    <w:rsid w:val="00DF642B"/>
    <w:rsid w:val="00DF6C40"/>
    <w:rsid w:val="00E039E8"/>
    <w:rsid w:val="00E04C98"/>
    <w:rsid w:val="00E053CA"/>
    <w:rsid w:val="00E10822"/>
    <w:rsid w:val="00E14889"/>
    <w:rsid w:val="00E16198"/>
    <w:rsid w:val="00E1756F"/>
    <w:rsid w:val="00E20738"/>
    <w:rsid w:val="00E259EA"/>
    <w:rsid w:val="00E27397"/>
    <w:rsid w:val="00E31895"/>
    <w:rsid w:val="00E3282B"/>
    <w:rsid w:val="00E33DDB"/>
    <w:rsid w:val="00E35970"/>
    <w:rsid w:val="00E36668"/>
    <w:rsid w:val="00E36FB0"/>
    <w:rsid w:val="00E4025B"/>
    <w:rsid w:val="00E44EBB"/>
    <w:rsid w:val="00E45276"/>
    <w:rsid w:val="00E50CBA"/>
    <w:rsid w:val="00E54D02"/>
    <w:rsid w:val="00E55FD9"/>
    <w:rsid w:val="00E6373A"/>
    <w:rsid w:val="00E7086E"/>
    <w:rsid w:val="00E76761"/>
    <w:rsid w:val="00E77B0B"/>
    <w:rsid w:val="00E8758A"/>
    <w:rsid w:val="00E90678"/>
    <w:rsid w:val="00E91556"/>
    <w:rsid w:val="00E93405"/>
    <w:rsid w:val="00E94D9E"/>
    <w:rsid w:val="00E96BE1"/>
    <w:rsid w:val="00EB0F23"/>
    <w:rsid w:val="00EC4E18"/>
    <w:rsid w:val="00ED1D65"/>
    <w:rsid w:val="00EE616E"/>
    <w:rsid w:val="00F02E67"/>
    <w:rsid w:val="00F05B07"/>
    <w:rsid w:val="00F1365F"/>
    <w:rsid w:val="00F1519F"/>
    <w:rsid w:val="00F172DB"/>
    <w:rsid w:val="00F1744E"/>
    <w:rsid w:val="00F20226"/>
    <w:rsid w:val="00F23D92"/>
    <w:rsid w:val="00F25E04"/>
    <w:rsid w:val="00F2773C"/>
    <w:rsid w:val="00F3207E"/>
    <w:rsid w:val="00F33397"/>
    <w:rsid w:val="00F33FB2"/>
    <w:rsid w:val="00F371B3"/>
    <w:rsid w:val="00F40190"/>
    <w:rsid w:val="00F479F7"/>
    <w:rsid w:val="00F50101"/>
    <w:rsid w:val="00F5221B"/>
    <w:rsid w:val="00F526AF"/>
    <w:rsid w:val="00F534C5"/>
    <w:rsid w:val="00F62AC2"/>
    <w:rsid w:val="00F62E33"/>
    <w:rsid w:val="00F70CF8"/>
    <w:rsid w:val="00F74A15"/>
    <w:rsid w:val="00F8042D"/>
    <w:rsid w:val="00F85181"/>
    <w:rsid w:val="00F9742F"/>
    <w:rsid w:val="00FA17E2"/>
    <w:rsid w:val="00FA6503"/>
    <w:rsid w:val="00FB4220"/>
    <w:rsid w:val="00FD5A31"/>
    <w:rsid w:val="00FE7DA0"/>
    <w:rsid w:val="00FF1C7D"/>
    <w:rsid w:val="00FF5E49"/>
    <w:rsid w:val="018E717F"/>
    <w:rsid w:val="04B166C1"/>
    <w:rsid w:val="051839E3"/>
    <w:rsid w:val="05887959"/>
    <w:rsid w:val="0A862883"/>
    <w:rsid w:val="0B1A0FD6"/>
    <w:rsid w:val="0CA52F5B"/>
    <w:rsid w:val="0D2A3B9B"/>
    <w:rsid w:val="0E1019FF"/>
    <w:rsid w:val="0EBA2E4F"/>
    <w:rsid w:val="0ED34B4D"/>
    <w:rsid w:val="10957C8A"/>
    <w:rsid w:val="11427736"/>
    <w:rsid w:val="121E07A2"/>
    <w:rsid w:val="123C4CD8"/>
    <w:rsid w:val="12914902"/>
    <w:rsid w:val="16832E8F"/>
    <w:rsid w:val="18B83F5B"/>
    <w:rsid w:val="190D73F1"/>
    <w:rsid w:val="19935981"/>
    <w:rsid w:val="1B7F067D"/>
    <w:rsid w:val="1C2D30C9"/>
    <w:rsid w:val="1C4E1BE7"/>
    <w:rsid w:val="1C621F2E"/>
    <w:rsid w:val="1C847D54"/>
    <w:rsid w:val="1CD2167C"/>
    <w:rsid w:val="1CDF7215"/>
    <w:rsid w:val="1D5911ED"/>
    <w:rsid w:val="1DD427DF"/>
    <w:rsid w:val="1E616333"/>
    <w:rsid w:val="1F6456EB"/>
    <w:rsid w:val="208F453E"/>
    <w:rsid w:val="212D69FF"/>
    <w:rsid w:val="21CE7667"/>
    <w:rsid w:val="21D52748"/>
    <w:rsid w:val="238522C2"/>
    <w:rsid w:val="24C30F28"/>
    <w:rsid w:val="26DD028A"/>
    <w:rsid w:val="2BF02C42"/>
    <w:rsid w:val="2D533A3B"/>
    <w:rsid w:val="2DF823FE"/>
    <w:rsid w:val="340A50AC"/>
    <w:rsid w:val="38A276D6"/>
    <w:rsid w:val="39025F94"/>
    <w:rsid w:val="39AA09FC"/>
    <w:rsid w:val="39F45D86"/>
    <w:rsid w:val="3B47645D"/>
    <w:rsid w:val="3B787EFB"/>
    <w:rsid w:val="3C0C7C68"/>
    <w:rsid w:val="3CEA66E6"/>
    <w:rsid w:val="3D2E0069"/>
    <w:rsid w:val="3DBA7C15"/>
    <w:rsid w:val="401E1212"/>
    <w:rsid w:val="43262217"/>
    <w:rsid w:val="4381536D"/>
    <w:rsid w:val="443358C5"/>
    <w:rsid w:val="44B762E3"/>
    <w:rsid w:val="45B712C7"/>
    <w:rsid w:val="482F185E"/>
    <w:rsid w:val="49CF43FB"/>
    <w:rsid w:val="4C614B31"/>
    <w:rsid w:val="4E441813"/>
    <w:rsid w:val="51464686"/>
    <w:rsid w:val="51A40AB7"/>
    <w:rsid w:val="521C4028"/>
    <w:rsid w:val="538A146D"/>
    <w:rsid w:val="54C57FF2"/>
    <w:rsid w:val="55F50570"/>
    <w:rsid w:val="57A71AC0"/>
    <w:rsid w:val="58BE6AF4"/>
    <w:rsid w:val="5AB267EA"/>
    <w:rsid w:val="5CC020E6"/>
    <w:rsid w:val="60524DCD"/>
    <w:rsid w:val="60681418"/>
    <w:rsid w:val="606B6D15"/>
    <w:rsid w:val="611F0588"/>
    <w:rsid w:val="61647C34"/>
    <w:rsid w:val="61AF6492"/>
    <w:rsid w:val="65FC168B"/>
    <w:rsid w:val="66105155"/>
    <w:rsid w:val="68340E0A"/>
    <w:rsid w:val="684758FA"/>
    <w:rsid w:val="6C4D5B6E"/>
    <w:rsid w:val="6E5A5140"/>
    <w:rsid w:val="6FA02F0E"/>
    <w:rsid w:val="6FC33EAB"/>
    <w:rsid w:val="7005282C"/>
    <w:rsid w:val="70DC41A6"/>
    <w:rsid w:val="713A188E"/>
    <w:rsid w:val="7326551A"/>
    <w:rsid w:val="74547068"/>
    <w:rsid w:val="74EA1523"/>
    <w:rsid w:val="78C86CB4"/>
    <w:rsid w:val="79A746AE"/>
    <w:rsid w:val="7A0E5CA8"/>
    <w:rsid w:val="7B384351"/>
    <w:rsid w:val="7C305A6E"/>
    <w:rsid w:val="7DAF2A9F"/>
    <w:rsid w:val="7E6459CD"/>
    <w:rsid w:val="7FE22265"/>
    <w:rsid w:val="7FE25A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8"/>
    <w:unhideWhenUsed/>
    <w:qFormat/>
    <w:locked/>
    <w:uiPriority w:val="9"/>
    <w:pPr>
      <w:keepNext/>
      <w:keepLines/>
      <w:widowControl/>
      <w:spacing w:before="200" w:beforeAutospacing="1" w:afterAutospacing="1"/>
      <w:jc w:val="left"/>
      <w:outlineLvl w:val="2"/>
    </w:pPr>
    <w:rPr>
      <w:rFonts w:asciiTheme="majorHAnsi" w:hAnsiTheme="majorHAnsi" w:eastAsiaTheme="majorEastAsia" w:cstheme="majorBidi"/>
      <w:b/>
      <w:bCs/>
      <w:color w:val="4F81BD" w:themeColor="accent1"/>
      <w:kern w:val="0"/>
      <w:sz w:val="22"/>
      <w:szCs w:val="22"/>
      <w:lang w:eastAsia="en-US"/>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semiHidden/>
    <w:unhideWhenUsed/>
    <w:qFormat/>
    <w:uiPriority w:val="99"/>
    <w:rPr>
      <w:b/>
      <w:bCs/>
    </w:rPr>
  </w:style>
  <w:style w:type="paragraph" w:styleId="4">
    <w:name w:val="annotation text"/>
    <w:basedOn w:val="1"/>
    <w:link w:val="26"/>
    <w:semiHidden/>
    <w:unhideWhenUsed/>
    <w:qFormat/>
    <w:uiPriority w:val="99"/>
    <w:pPr>
      <w:jc w:val="left"/>
    </w:p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semiHidden/>
    <w:unhideWhenUsed/>
    <w:qFormat/>
    <w:uiPriority w:val="99"/>
    <w:rPr>
      <w:sz w:val="28"/>
    </w:rPr>
  </w:style>
  <w:style w:type="paragraph" w:styleId="7">
    <w:name w:val="Body Text Indent"/>
    <w:basedOn w:val="1"/>
    <w:link w:val="31"/>
    <w:qFormat/>
    <w:uiPriority w:val="0"/>
    <w:pPr>
      <w:spacing w:after="120"/>
      <w:ind w:left="420" w:leftChars="200"/>
    </w:p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link w:val="3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annotation reference"/>
    <w:basedOn w:val="14"/>
    <w:semiHidden/>
    <w:unhideWhenUsed/>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批注文字 Char"/>
    <w:basedOn w:val="14"/>
    <w:link w:val="4"/>
    <w:semiHidden/>
    <w:qFormat/>
    <w:uiPriority w:val="99"/>
    <w:rPr>
      <w:rFonts w:ascii="Times New Roman" w:hAnsi="Times New Roman"/>
      <w:kern w:val="2"/>
      <w:sz w:val="21"/>
      <w:szCs w:val="24"/>
    </w:rPr>
  </w:style>
  <w:style w:type="character" w:customStyle="1" w:styleId="27">
    <w:name w:val="批注主题 Char"/>
    <w:basedOn w:val="26"/>
    <w:link w:val="3"/>
    <w:semiHidden/>
    <w:qFormat/>
    <w:uiPriority w:val="99"/>
    <w:rPr>
      <w:rFonts w:ascii="Times New Roman" w:hAnsi="Times New Roman"/>
      <w:b/>
      <w:bCs/>
      <w:kern w:val="2"/>
      <w:sz w:val="21"/>
      <w:szCs w:val="24"/>
    </w:rPr>
  </w:style>
  <w:style w:type="character" w:customStyle="1" w:styleId="28">
    <w:name w:val="标题 3 Char"/>
    <w:basedOn w:val="14"/>
    <w:link w:val="2"/>
    <w:qFormat/>
    <w:uiPriority w:val="9"/>
    <w:rPr>
      <w:rFonts w:asciiTheme="majorHAnsi" w:hAnsiTheme="majorHAnsi" w:eastAsiaTheme="majorEastAsia" w:cstheme="majorBidi"/>
      <w:b/>
      <w:bCs/>
      <w:color w:val="4F81BD" w:themeColor="accent1"/>
      <w:sz w:val="22"/>
      <w:szCs w:val="22"/>
      <w:lang w:eastAsia="en-US"/>
    </w:rPr>
  </w:style>
  <w:style w:type="paragraph" w:styleId="2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30">
    <w:name w:val="HTML 预设格式 Char"/>
    <w:link w:val="12"/>
    <w:qFormat/>
    <w:uiPriority w:val="0"/>
    <w:rPr>
      <w:rFonts w:ascii="宋体" w:hAnsi="宋体"/>
      <w:sz w:val="24"/>
      <w:szCs w:val="24"/>
    </w:rPr>
  </w:style>
  <w:style w:type="character" w:customStyle="1" w:styleId="31">
    <w:name w:val="正文文本缩进 Char"/>
    <w:basedOn w:val="14"/>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76576-D60C-48D7-9AC4-322B48ECA6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1702</Words>
  <Characters>9702</Characters>
  <Lines>80</Lines>
  <Paragraphs>22</Paragraphs>
  <TotalTime>15</TotalTime>
  <ScaleCrop>false</ScaleCrop>
  <LinksUpToDate>false</LinksUpToDate>
  <CharactersWithSpaces>11382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2019-04-04T00:40:00Z</dcterms:created>
  <dc:creator>李凯01</dc:creator>
  <cp:lastModifiedBy>旷静</cp:lastModifiedBy>
  <cp:lastPrinted>2020-05-28T01:52:00Z</cp:lastPrinted>
  <dcterms:modified xsi:type="dcterms:W3CDTF">2020-06-11T07:15:33Z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