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auto"/>
          <w:sz w:val="32"/>
          <w:highlight w:val="green"/>
        </w:rPr>
      </w:pPr>
      <w:r>
        <w:rPr>
          <w:rFonts w:hint="eastAsia" w:ascii="仿宋_GB2312" w:hAnsi="仿宋" w:eastAsia="仿宋_GB2312"/>
          <w:b/>
          <w:color w:val="auto"/>
          <w:sz w:val="44"/>
          <w:szCs w:val="44"/>
          <w:highlight w:val="none"/>
          <w:lang w:eastAsia="zh-CN"/>
        </w:rPr>
        <w:t>关于C3一级货站1号库更换隔断玻璃的询价文件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rPr>
        <w:t>编号</w:t>
      </w:r>
      <w:r>
        <w:rPr>
          <w:rFonts w:hint="eastAsia" w:ascii="仿宋_GB2312" w:eastAsia="仿宋_GB2312"/>
          <w:b/>
          <w:color w:val="000000"/>
          <w:sz w:val="32"/>
          <w:lang w:eastAsia="zh-CN"/>
        </w:rPr>
        <w:t>：XJ2020-002</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highlight w:val="green"/>
        </w:rPr>
      </w:pPr>
      <w:r>
        <w:rPr>
          <w:rFonts w:hint="eastAsia" w:ascii="仿宋_GB2312" w:eastAsia="仿宋_GB2312"/>
          <w:b/>
          <w:color w:val="000000"/>
          <w:sz w:val="32"/>
          <w:szCs w:val="32"/>
          <w:highlight w:val="none"/>
        </w:rPr>
        <w:t>二〇二〇年</w:t>
      </w:r>
      <w:r>
        <w:rPr>
          <w:rFonts w:hint="eastAsia" w:ascii="仿宋_GB2312" w:eastAsia="仿宋_GB2312"/>
          <w:b/>
          <w:color w:val="000000"/>
          <w:sz w:val="32"/>
          <w:szCs w:val="32"/>
          <w:highlight w:val="none"/>
          <w:lang w:eastAsia="zh-CN"/>
        </w:rPr>
        <w:t>五</w:t>
      </w:r>
      <w:r>
        <w:rPr>
          <w:rFonts w:hint="eastAsia" w:ascii="仿宋_GB2312" w:eastAsia="仿宋_GB2312"/>
          <w:b/>
          <w:color w:val="000000"/>
          <w:sz w:val="32"/>
          <w:szCs w:val="32"/>
          <w:highlight w:val="none"/>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ascii="仿宋_GB2312" w:eastAsia="仿宋_GB2312"/>
          <w:b/>
          <w:color w:val="auto"/>
          <w:sz w:val="32"/>
          <w:highlight w:val="green"/>
        </w:rPr>
      </w:pPr>
      <w:r>
        <w:rPr>
          <w:rFonts w:hint="eastAsia" w:ascii="仿宋_GB2312" w:hAnsi="仿宋" w:eastAsia="仿宋_GB2312"/>
          <w:b/>
          <w:color w:val="auto"/>
          <w:sz w:val="44"/>
          <w:szCs w:val="44"/>
          <w:highlight w:val="none"/>
          <w:lang w:eastAsia="zh-CN"/>
        </w:rPr>
        <w:t>关于C3一级货站1号库更换隔断玻璃的询价文件</w:t>
      </w:r>
    </w:p>
    <w:p>
      <w:pPr>
        <w:jc w:val="both"/>
        <w:rPr>
          <w:rFonts w:ascii="仿宋_GB2312" w:eastAsia="仿宋_GB2312"/>
          <w:b/>
          <w:color w:val="000000"/>
          <w:sz w:val="44"/>
          <w:szCs w:val="44"/>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2.1项目内容</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2.1.1增设一体钢化玻璃隔断约6平方（3.08m*1.9m*18mm）。</w:t>
      </w:r>
    </w:p>
    <w:p>
      <w:pPr>
        <w:spacing w:line="360" w:lineRule="auto"/>
        <w:ind w:firstLine="560" w:firstLineChars="200"/>
        <w:jc w:val="left"/>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2.1.2先将其槽口清理干净，槽口内不得有垃圾或积水，并垫好防振橡胶垫块。</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2.1.3玻璃全部就位后，校正平整度、垂直度，同时用聚苯乙烯泡沫嵌条嵌入槽口内使用玻璃与金属槽接合平伏、紧密，然后打硅酮结构胶</w:t>
      </w:r>
    </w:p>
    <w:p>
      <w:pPr>
        <w:spacing w:line="360" w:lineRule="auto"/>
        <w:ind w:firstLine="560" w:firstLineChars="200"/>
        <w:jc w:val="left"/>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2.1.4注满后随即用塑料片在玻璃的两面刮平玻璃胶，并清洁溢到玻璃表面的胶迹。</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2.1.5玻璃板隔墙安装好后，用棉纱和清洁剂清洁玻璃面的胶迹和污痕。</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499</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2.1.6施工安全：</w:t>
      </w:r>
      <w:r>
        <w:rPr>
          <w:rFonts w:hint="eastAsia" w:ascii="仿宋_GB2312" w:eastAsia="仿宋_GB2312"/>
          <w:color w:val="000000"/>
          <w:sz w:val="28"/>
          <w:szCs w:val="28"/>
          <w:highlight w:val="none"/>
        </w:rPr>
        <w:t>维修前应提供工作方案及安全措施，经甲方同意确认后方可工作。成交方应服从</w:t>
      </w:r>
      <w:r>
        <w:rPr>
          <w:rFonts w:hint="eastAsia" w:ascii="仿宋_GB2312" w:eastAsia="仿宋_GB2312"/>
          <w:color w:val="000000"/>
          <w:sz w:val="28"/>
          <w:szCs w:val="28"/>
          <w:highlight w:val="none"/>
          <w:lang w:val="en-US" w:eastAsia="zh-CN"/>
        </w:rPr>
        <w:t>甲方</w:t>
      </w:r>
      <w:r>
        <w:rPr>
          <w:rFonts w:hint="eastAsia" w:ascii="仿宋_GB2312" w:eastAsia="仿宋_GB2312"/>
          <w:color w:val="000000"/>
          <w:sz w:val="28"/>
          <w:szCs w:val="28"/>
          <w:highlight w:val="none"/>
        </w:rPr>
        <w:t>安排，</w:t>
      </w:r>
      <w:r>
        <w:rPr>
          <w:rFonts w:hint="eastAsia" w:ascii="仿宋_GB2312" w:eastAsia="仿宋_GB2312"/>
          <w:color w:val="000000"/>
          <w:sz w:val="28"/>
          <w:szCs w:val="28"/>
          <w:highlight w:val="none"/>
          <w:lang w:val="en-US" w:eastAsia="zh-CN"/>
        </w:rPr>
        <w:t>甲方</w:t>
      </w:r>
      <w:r>
        <w:rPr>
          <w:rFonts w:hint="eastAsia" w:ascii="仿宋_GB2312" w:eastAsia="仿宋_GB2312"/>
          <w:color w:val="000000"/>
          <w:sz w:val="28"/>
          <w:szCs w:val="28"/>
          <w:highlight w:val="none"/>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0.6万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陆仟</w:t>
      </w:r>
      <w:r>
        <w:rPr>
          <w:rFonts w:hint="eastAsia" w:ascii="仿宋_GB2312" w:eastAsia="仿宋_GB2312"/>
          <w:color w:val="auto"/>
          <w:sz w:val="28"/>
          <w:szCs w:val="28"/>
          <w:highlight w:val="none"/>
        </w:rPr>
        <w:t>圆</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highlight w:val="none"/>
          <w:u w:val="single"/>
          <w:lang w:eastAsia="zh-CN"/>
        </w:rPr>
        <w:t>不含税</w:t>
      </w:r>
      <w:r>
        <w:rPr>
          <w:rFonts w:hint="eastAsia" w:ascii="仿宋_GB2312" w:hAnsi="宋体" w:eastAsia="仿宋_GB2312"/>
          <w:b/>
          <w:bCs/>
          <w:color w:val="000000"/>
          <w:sz w:val="28"/>
          <w:szCs w:val="28"/>
          <w:highlight w:val="none"/>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highlight w:val="none"/>
          <w:lang w:val="en-US" w:eastAsia="zh-CN"/>
        </w:rPr>
        <w:t xml:space="preserve">  </w:t>
      </w:r>
      <w:r>
        <w:rPr>
          <w:rFonts w:hint="eastAsia" w:ascii="仿宋_GB2312" w:hAnsi="宋体" w:eastAsia="仿宋_GB2312" w:cs="Arial"/>
          <w:b w:val="0"/>
          <w:bCs/>
          <w:sz w:val="28"/>
          <w:szCs w:val="28"/>
          <w:highlight w:val="none"/>
          <w:u w:val="single"/>
          <w:lang w:val="en-US" w:eastAsia="zh-CN"/>
        </w:rPr>
        <w:t xml:space="preserve"> 10 </w:t>
      </w:r>
      <w:r>
        <w:rPr>
          <w:rFonts w:hint="eastAsia" w:ascii="仿宋_GB2312" w:hAnsi="宋体" w:eastAsia="仿宋_GB2312" w:cs="Arial"/>
          <w:b w:val="0"/>
          <w:bCs/>
          <w:sz w:val="28"/>
          <w:szCs w:val="28"/>
          <w:highlight w:val="none"/>
          <w:lang w:val="en-US" w:eastAsia="zh-CN"/>
        </w:rPr>
        <w:t>天。</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lang w:eastAsia="zh-CN"/>
        </w:rPr>
        <w:t>八</w:t>
      </w:r>
      <w:r>
        <w:rPr>
          <w:rFonts w:hint="eastAsia" w:ascii="仿宋_GB2312" w:hAnsi="宋体" w:eastAsia="仿宋_GB2312" w:cs="Arial"/>
          <w:b/>
          <w:color w:val="000000"/>
          <w:sz w:val="28"/>
          <w:szCs w:val="28"/>
        </w:rPr>
        <w:t>、</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8.2.4本公司营业执照复印件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九、备注：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2020年5月18日17时</w:t>
      </w:r>
      <w:bookmarkStart w:id="0" w:name="_GoBack"/>
      <w:bookmarkEnd w:id="0"/>
      <w:r>
        <w:rPr>
          <w:rFonts w:hint="eastAsia" w:ascii="仿宋_GB2312" w:eastAsia="仿宋_GB2312"/>
          <w:color w:val="000000"/>
          <w:sz w:val="28"/>
          <w:szCs w:val="28"/>
        </w:rPr>
        <w:t>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w:t>
      </w:r>
      <w:r>
        <w:rPr>
          <w:rFonts w:hint="eastAsia" w:ascii="仿宋_GB2312" w:hAnsi="宋体" w:eastAsia="仿宋_GB2312" w:cs="Arial"/>
          <w:b/>
          <w:color w:val="000000"/>
          <w:sz w:val="28"/>
          <w:szCs w:val="28"/>
          <w:lang w:eastAsia="zh-CN"/>
        </w:rPr>
        <w:t>一</w:t>
      </w:r>
      <w:r>
        <w:rPr>
          <w:rFonts w:hint="eastAsia" w:ascii="仿宋_GB2312" w:hAnsi="宋体" w:eastAsia="仿宋_GB2312" w:cs="Arial"/>
          <w:b/>
          <w:color w:val="000000"/>
          <w:sz w:val="28"/>
          <w:szCs w:val="28"/>
        </w:rPr>
        <w:t>、</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highlight w:val="none"/>
        </w:rPr>
      </w:pPr>
      <w:r>
        <w:rPr>
          <w:rFonts w:hint="eastAsia" w:ascii="仿宋_GB2312" w:hAnsi="宋体" w:eastAsia="仿宋_GB2312"/>
          <w:sz w:val="28"/>
          <w:szCs w:val="28"/>
          <w:highlight w:val="none"/>
        </w:rPr>
        <w:t>业</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eastAsia="zh-CN"/>
        </w:rPr>
        <w:t>张兆洋</w:t>
      </w:r>
    </w:p>
    <w:p>
      <w:pPr>
        <w:adjustRightInd w:val="0"/>
        <w:snapToGrid w:val="0"/>
        <w:spacing w:line="594" w:lineRule="exact"/>
        <w:ind w:firstLine="539"/>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电</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话：023-6715</w:t>
      </w:r>
      <w:r>
        <w:rPr>
          <w:rFonts w:hint="eastAsia" w:ascii="仿宋_GB2312" w:hAnsi="宋体" w:eastAsia="仿宋_GB2312"/>
          <w:sz w:val="28"/>
          <w:szCs w:val="28"/>
          <w:highlight w:val="none"/>
          <w:lang w:val="en-US" w:eastAsia="zh-CN"/>
        </w:rPr>
        <w:t>6539</w:t>
      </w:r>
    </w:p>
    <w:p>
      <w:pPr>
        <w:adjustRightInd w:val="0"/>
        <w:snapToGrid w:val="0"/>
        <w:spacing w:line="594" w:lineRule="exact"/>
        <w:ind w:firstLine="539"/>
        <w:rPr>
          <w:rFonts w:hint="default" w:ascii="仿宋_GB2312" w:hAnsi="宋体" w:eastAsia="仿宋_GB2312"/>
          <w:sz w:val="28"/>
          <w:szCs w:val="28"/>
          <w:highlight w:val="none"/>
          <w:lang w:val="en-US"/>
        </w:rPr>
      </w:pPr>
      <w:r>
        <w:rPr>
          <w:rFonts w:hint="eastAsia" w:ascii="仿宋_GB2312" w:hAnsi="宋体" w:eastAsia="仿宋_GB2312"/>
          <w:sz w:val="28"/>
          <w:szCs w:val="28"/>
          <w:highlight w:val="none"/>
        </w:rPr>
        <w:t>邮</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箱：</w:t>
      </w:r>
      <w:r>
        <w:rPr>
          <w:rFonts w:hint="eastAsia" w:ascii="仿宋_GB2312" w:hAnsi="宋体" w:eastAsia="仿宋_GB2312"/>
          <w:sz w:val="28"/>
          <w:szCs w:val="28"/>
          <w:highlight w:val="none"/>
          <w:lang w:val="en-US" w:eastAsia="zh-CN"/>
        </w:rPr>
        <w:t>178596237@qq.com</w:t>
      </w: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5A0690C"/>
    <w:rsid w:val="18F40524"/>
    <w:rsid w:val="1A5D5310"/>
    <w:rsid w:val="1B7D6E67"/>
    <w:rsid w:val="1FF368CC"/>
    <w:rsid w:val="2BB52E41"/>
    <w:rsid w:val="2DE74F72"/>
    <w:rsid w:val="30E45C63"/>
    <w:rsid w:val="31B718EC"/>
    <w:rsid w:val="347E4314"/>
    <w:rsid w:val="36544DDF"/>
    <w:rsid w:val="3A140F9B"/>
    <w:rsid w:val="3ACD1918"/>
    <w:rsid w:val="3AE76E8F"/>
    <w:rsid w:val="415426A8"/>
    <w:rsid w:val="48CC7324"/>
    <w:rsid w:val="4CD54398"/>
    <w:rsid w:val="4CD90F9B"/>
    <w:rsid w:val="58F46DD8"/>
    <w:rsid w:val="59D42EB5"/>
    <w:rsid w:val="5A945DE7"/>
    <w:rsid w:val="5BF615BC"/>
    <w:rsid w:val="5CD94274"/>
    <w:rsid w:val="5D0304C8"/>
    <w:rsid w:val="5F947D80"/>
    <w:rsid w:val="6006041D"/>
    <w:rsid w:val="63300980"/>
    <w:rsid w:val="64352713"/>
    <w:rsid w:val="677D0564"/>
    <w:rsid w:val="6CD4529E"/>
    <w:rsid w:val="6E2454D0"/>
    <w:rsid w:val="738721C8"/>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重庆物流文书</cp:lastModifiedBy>
  <cp:lastPrinted>2019-05-28T03:01:00Z</cp:lastPrinted>
  <dcterms:modified xsi:type="dcterms:W3CDTF">2020-05-13T02:51:48Z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