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/>
          <w:sz w:val="24"/>
          <w:szCs w:val="20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126"/>
        <w:gridCol w:w="742"/>
        <w:gridCol w:w="435"/>
        <w:gridCol w:w="495"/>
        <w:gridCol w:w="1050"/>
        <w:gridCol w:w="851"/>
        <w:gridCol w:w="68"/>
        <w:gridCol w:w="85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4"/>
                <w:lang w:val="en-US" w:eastAsia="zh-CN"/>
              </w:rPr>
              <w:t>维修市政隔离护栏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（长×高）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3m×0.7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护栏材质为热镀锌钢管。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更换现有两跨护栏，其余备用。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1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9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1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将报价单密封送至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4、报价应包括隔离护栏安装需要的所有相关配件，如立柱、底座、螺栓等，供应商报价时应全部考虑。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2020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出采购预算时本次询价作废）价格相同者，现场进行第二轮报价。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、签约、交货：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后，于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2020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10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日前与采购人签定采购合同，务必于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4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日前将中标商品送达采购人指定地点。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、本询价单为合同重要组成部分。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11、护栏示意图：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64135</wp:posOffset>
                  </wp:positionV>
                  <wp:extent cx="4495800" cy="2914650"/>
                  <wp:effectExtent l="0" t="0" r="0" b="0"/>
                  <wp:wrapNone/>
                  <wp:docPr id="1" name="图片 1" descr="15858965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8589650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494B9"/>
    <w:multiLevelType w:val="singleLevel"/>
    <w:tmpl w:val="BBC494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A58225A"/>
    <w:rsid w:val="26761226"/>
    <w:rsid w:val="2AF25EB8"/>
    <w:rsid w:val="49993B75"/>
    <w:rsid w:val="5EE33F3E"/>
    <w:rsid w:val="5F3B545D"/>
    <w:rsid w:val="619E15AA"/>
    <w:rsid w:val="68E35960"/>
    <w:rsid w:val="6B593CE6"/>
    <w:rsid w:val="7EC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dcterms:modified xsi:type="dcterms:W3CDTF">2020-04-07T06:03:13Z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