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重庆机场ITC安全防护补充项目设备采购部分</w:t>
      </w:r>
    </w:p>
    <w:p>
      <w:pPr>
        <w:jc w:val="center"/>
        <w:rPr>
          <w:rFonts w:ascii="仿宋" w:hAnsi="仿宋" w:eastAsia="仿宋"/>
          <w:b/>
          <w:sz w:val="36"/>
          <w:szCs w:val="36"/>
        </w:rPr>
      </w:pPr>
      <w:r>
        <w:rPr>
          <w:rFonts w:hint="eastAsia" w:ascii="仿宋" w:hAnsi="仿宋" w:eastAsia="仿宋"/>
          <w:b/>
          <w:sz w:val="36"/>
          <w:szCs w:val="36"/>
        </w:rPr>
        <w:t>比选文件</w:t>
      </w:r>
      <w:r>
        <w:rPr>
          <w:rFonts w:hint="eastAsia" w:ascii="仿宋" w:hAnsi="仿宋" w:eastAsia="仿宋"/>
          <w:b/>
          <w:sz w:val="36"/>
          <w:szCs w:val="36"/>
          <w:lang w:eastAsia="zh-CN"/>
        </w:rPr>
        <w:t>（第二次）</w:t>
      </w:r>
    </w:p>
    <w:p>
      <w:pPr>
        <w:jc w:val="center"/>
        <w:rPr>
          <w:rFonts w:ascii="仿宋" w:hAnsi="仿宋" w:eastAsia="仿宋"/>
          <w:b/>
          <w:sz w:val="32"/>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编号：采购20200</w:t>
      </w:r>
      <w:r>
        <w:rPr>
          <w:rFonts w:hint="eastAsia" w:ascii="仿宋" w:hAnsi="仿宋" w:eastAsia="仿宋"/>
          <w:b/>
          <w:sz w:val="32"/>
          <w:highlight w:val="none"/>
          <w:lang w:val="en-US" w:eastAsia="zh-CN"/>
        </w:rPr>
        <w:t>44</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二〇二〇年十一月</w:t>
      </w:r>
    </w:p>
    <w:p>
      <w:pPr>
        <w:jc w:val="center"/>
        <w:rPr>
          <w:rFonts w:hint="eastAsia" w:ascii="仿宋" w:hAnsi="仿宋" w:eastAsia="仿宋"/>
          <w:b/>
          <w:sz w:val="36"/>
          <w:szCs w:val="36"/>
        </w:rPr>
      </w:pPr>
      <w:r>
        <w:rPr>
          <w:rFonts w:ascii="仿宋" w:hAnsi="仿宋" w:eastAsia="仿宋"/>
          <w:b/>
          <w:sz w:val="52"/>
        </w:rPr>
        <w:br w:type="page"/>
      </w:r>
      <w:r>
        <w:rPr>
          <w:rFonts w:hint="eastAsia" w:ascii="仿宋" w:hAnsi="仿宋" w:eastAsia="仿宋"/>
          <w:b/>
          <w:sz w:val="36"/>
          <w:szCs w:val="36"/>
        </w:rPr>
        <w:t>重庆机场ITC安全防护补充项目设备采购部分</w:t>
      </w:r>
    </w:p>
    <w:p>
      <w:pPr>
        <w:jc w:val="center"/>
        <w:rPr>
          <w:rFonts w:ascii="仿宋" w:hAnsi="仿宋" w:eastAsia="仿宋"/>
          <w:b/>
          <w:sz w:val="44"/>
          <w:szCs w:val="44"/>
        </w:rPr>
      </w:pPr>
      <w:r>
        <w:rPr>
          <w:rFonts w:hint="eastAsia" w:ascii="仿宋" w:hAnsi="仿宋" w:eastAsia="仿宋"/>
          <w:b/>
          <w:sz w:val="36"/>
          <w:szCs w:val="36"/>
        </w:rPr>
        <w:t>比选文件</w:t>
      </w:r>
      <w:r>
        <w:rPr>
          <w:rFonts w:hint="eastAsia" w:ascii="仿宋" w:hAnsi="仿宋" w:eastAsia="仿宋"/>
          <w:b/>
          <w:sz w:val="36"/>
          <w:szCs w:val="36"/>
          <w:lang w:eastAsia="zh-CN"/>
        </w:rPr>
        <w:t>（第二次）</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我司决定于近期将对重庆机场ITC安全防护补充项目设备采购部分</w:t>
      </w:r>
      <w:r>
        <w:rPr>
          <w:rFonts w:hint="eastAsia" w:ascii="仿宋" w:hAnsi="仿宋" w:eastAsia="仿宋"/>
          <w:sz w:val="28"/>
          <w:szCs w:val="28"/>
          <w:lang w:eastAsia="zh-CN"/>
        </w:rPr>
        <w:t>（</w:t>
      </w:r>
      <w:r>
        <w:rPr>
          <w:rFonts w:hint="eastAsia" w:ascii="仿宋" w:hAnsi="仿宋" w:eastAsia="仿宋"/>
          <w:sz w:val="28"/>
          <w:szCs w:val="28"/>
          <w:lang w:eastAsia="zh-CN"/>
        </w:rPr>
        <w:t>第二次）</w:t>
      </w:r>
      <w:r>
        <w:rPr>
          <w:rFonts w:hint="eastAsia" w:ascii="仿宋" w:hAnsi="仿宋" w:eastAsia="仿宋"/>
          <w:sz w:val="28"/>
          <w:szCs w:val="28"/>
        </w:rPr>
        <w:t>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在中华人民共和国依法注册、具有独立法人资格。本项目不接受联合体投标，不得分包、转包；</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1.1.3具有有效营业执照（须提供营业执照复印件加盖鲜章），营业</w:t>
      </w:r>
      <w:r>
        <w:rPr>
          <w:rFonts w:ascii="仿宋" w:hAnsi="仿宋" w:eastAsia="仿宋"/>
          <w:sz w:val="28"/>
          <w:szCs w:val="28"/>
        </w:rPr>
        <w:t>范围</w:t>
      </w:r>
      <w:r>
        <w:rPr>
          <w:rFonts w:hint="eastAsia" w:ascii="仿宋" w:hAnsi="仿宋" w:eastAsia="仿宋"/>
          <w:sz w:val="28"/>
          <w:szCs w:val="28"/>
        </w:rPr>
        <w:t>含销售：</w:t>
      </w:r>
      <w:r>
        <w:rPr>
          <w:rFonts w:ascii="仿宋" w:hAnsi="仿宋" w:eastAsia="仿宋"/>
          <w:sz w:val="28"/>
          <w:szCs w:val="28"/>
        </w:rPr>
        <w:t>计算机</w:t>
      </w:r>
      <w:r>
        <w:rPr>
          <w:rFonts w:hint="eastAsia" w:ascii="仿宋" w:hAnsi="仿宋" w:eastAsia="仿宋"/>
          <w:sz w:val="28"/>
          <w:szCs w:val="28"/>
        </w:rPr>
        <w:t>软硬件或网络产品或电子产品或通用设备等；</w:t>
      </w:r>
    </w:p>
    <w:p>
      <w:pPr>
        <w:widowControl/>
        <w:spacing w:line="360" w:lineRule="auto"/>
        <w:ind w:firstLine="570"/>
      </w:pPr>
      <w:r>
        <w:rPr>
          <w:rFonts w:hint="eastAsia" w:ascii="仿宋" w:hAnsi="仿宋" w:eastAsia="仿宋"/>
          <w:sz w:val="28"/>
          <w:szCs w:val="28"/>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rPr>
        <w:t>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法定代表人授权书和法定代表人身份证复印件；</w:t>
      </w:r>
    </w:p>
    <w:p>
      <w:pPr>
        <w:widowControl/>
        <w:spacing w:line="360" w:lineRule="auto"/>
        <w:ind w:firstLine="570"/>
        <w:jc w:val="left"/>
        <w:rPr>
          <w:rFonts w:hint="eastAsia" w:ascii="仿宋" w:hAnsi="仿宋" w:eastAsia="仿宋"/>
          <w:sz w:val="28"/>
          <w:szCs w:val="28"/>
          <w:lang w:eastAsia="zh-CN"/>
        </w:rPr>
      </w:pPr>
      <w:r>
        <w:rPr>
          <w:rFonts w:ascii="仿宋" w:hAnsi="仿宋" w:eastAsia="仿宋"/>
          <w:sz w:val="28"/>
          <w:szCs w:val="28"/>
        </w:rPr>
        <w:t>1.1.</w:t>
      </w:r>
      <w:r>
        <w:rPr>
          <w:rFonts w:hint="eastAsia" w:ascii="仿宋" w:hAnsi="仿宋" w:eastAsia="仿宋"/>
          <w:sz w:val="28"/>
          <w:szCs w:val="28"/>
          <w:lang w:val="en-US" w:eastAsia="zh-CN"/>
        </w:rPr>
        <w:t>7</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1.2.1本项目拟在重庆机场ITC新增2台门禁、8台人脸识别门禁一体机。以及一套身份识别数据分析处理及系统管理平台。在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hint="eastAsia" w:ascii="仿宋" w:hAnsi="仿宋" w:eastAsia="仿宋"/>
          <w:sz w:val="28"/>
          <w:szCs w:val="28"/>
          <w:lang w:val="en-US" w:eastAsia="zh-CN"/>
        </w:rPr>
        <w:t>13.3</w:t>
      </w:r>
      <w:r>
        <w:rPr>
          <w:rFonts w:hint="eastAsia" w:ascii="仿宋" w:hAnsi="仿宋" w:eastAsia="仿宋"/>
          <w:sz w:val="28"/>
          <w:szCs w:val="28"/>
        </w:rPr>
        <w:t>万元（含税）（大写：</w:t>
      </w:r>
      <w:r>
        <w:rPr>
          <w:rFonts w:hint="eastAsia" w:ascii="仿宋" w:hAnsi="仿宋" w:eastAsia="仿宋"/>
          <w:sz w:val="28"/>
          <w:szCs w:val="28"/>
          <w:lang w:eastAsia="zh-CN"/>
        </w:rPr>
        <w:t>壹拾叁万叁仟</w:t>
      </w:r>
      <w:r>
        <w:rPr>
          <w:rFonts w:hint="eastAsia" w:ascii="仿宋" w:hAnsi="仿宋" w:eastAsia="仿宋"/>
          <w:sz w:val="28"/>
          <w:szCs w:val="28"/>
        </w:rPr>
        <w:t>元整），报价超过最高限价，将取消比选响应方的比选资格。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2.1有效营业执照（须提供营业执照复印件加盖鲜章）；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仿宋" w:hAnsi="仿宋" w:eastAsia="仿宋"/>
          <w:b/>
          <w:bCs/>
          <w:sz w:val="28"/>
          <w:szCs w:val="28"/>
        </w:rPr>
        <w:t>在投标文件中提供相关查询截图并加盖鲜章；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2.5被授权人身份证复印件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重庆机场ITC安全防护补充项目设备采购部分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2020年</w:t>
      </w:r>
      <w:r>
        <w:rPr>
          <w:rFonts w:hint="eastAsia" w:ascii="仿宋" w:hAnsi="仿宋" w:eastAsia="仿宋"/>
          <w:kern w:val="0"/>
          <w:sz w:val="28"/>
          <w:szCs w:val="28"/>
          <w:u w:val="single"/>
          <w:lang w:val="en-US" w:eastAsia="zh-CN"/>
        </w:rPr>
        <w:t>12</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11</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lang w:val="en-US" w:eastAsia="zh-CN"/>
        </w:rPr>
        <w:t>25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通过“国家企业信用信息公示系统”网站（www.gsxt.gov.cn/）查询，“中国政府采购网”网站（www.ccgp.gov.cn）查询的信用</w:t>
      </w:r>
      <w:r>
        <w:rPr>
          <w:rFonts w:ascii="仿宋" w:hAnsi="仿宋" w:eastAsia="仿宋"/>
          <w:sz w:val="28"/>
          <w:szCs w:val="28"/>
        </w:rPr>
        <w:t>记录</w:t>
      </w:r>
      <w:r>
        <w:rPr>
          <w:rFonts w:hint="eastAsia" w:ascii="仿宋" w:hAnsi="仿宋" w:eastAsia="仿宋"/>
          <w:sz w:val="28"/>
          <w:szCs w:val="28"/>
        </w:rPr>
        <w:t>、一般纳税人资格证明盖鲜章或者小规模纳税人资格证明盖鲜章、法定代表人授权书和法定代表人身份证复印件、被授权人身份证复印件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2020年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17</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w:t>
      </w:r>
      <w:r>
        <w:rPr>
          <w:rFonts w:hint="eastAsia" w:ascii="仿宋" w:hAnsi="仿宋" w:eastAsia="仿宋"/>
          <w:sz w:val="28"/>
          <w:szCs w:val="28"/>
        </w:rPr>
        <w:t>重庆机场信息通信网络有限公司（ITC大楼</w:t>
      </w:r>
      <w:r>
        <w:rPr>
          <w:rFonts w:hint="eastAsia" w:ascii="仿宋" w:hAnsi="仿宋" w:eastAsia="仿宋"/>
          <w:sz w:val="28"/>
          <w:szCs w:val="28"/>
          <w:lang w:val="en-US" w:eastAsia="zh-CN"/>
        </w:rPr>
        <w:t>113</w:t>
      </w:r>
      <w:r>
        <w:rPr>
          <w:rFonts w:hint="eastAsia" w:ascii="仿宋" w:hAnsi="仿宋" w:eastAsia="仿宋"/>
          <w:sz w:val="28"/>
          <w:szCs w:val="28"/>
        </w:rPr>
        <w:t>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17</w:t>
      </w:r>
      <w:bookmarkStart w:id="0" w:name="_GoBack"/>
      <w:bookmarkEnd w:id="0"/>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b/>
          <w:sz w:val="36"/>
          <w:szCs w:val="36"/>
        </w:rPr>
      </w:pPr>
      <w:r>
        <w:rPr>
          <w:rFonts w:hint="eastAsia" w:ascii="仿宋" w:hAnsi="仿宋" w:eastAsia="仿宋"/>
          <w:b/>
          <w:sz w:val="36"/>
          <w:szCs w:val="36"/>
        </w:rPr>
        <w:t>重庆机场ITC安全防护补充项目</w:t>
      </w:r>
    </w:p>
    <w:p>
      <w:pPr>
        <w:widowControl/>
        <w:jc w:val="center"/>
        <w:rPr>
          <w:rFonts w:ascii="仿宋" w:hAnsi="仿宋" w:eastAsia="仿宋"/>
        </w:rPr>
      </w:pPr>
      <w:r>
        <w:rPr>
          <w:rFonts w:hint="eastAsia" w:ascii="仿宋" w:hAnsi="仿宋" w:eastAsia="仿宋"/>
          <w:b/>
          <w:sz w:val="36"/>
          <w:szCs w:val="36"/>
        </w:rPr>
        <w:t>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u w:val="single"/>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rPr>
              <w:t>重庆机场ITC安全防护补充项目</w:t>
            </w:r>
          </w:p>
          <w:p>
            <w:pPr>
              <w:jc w:val="left"/>
              <w:rPr>
                <w:rFonts w:ascii="仿宋" w:hAnsi="仿宋" w:eastAsia="仿宋"/>
                <w:sz w:val="24"/>
              </w:rPr>
            </w:pPr>
            <w:r>
              <w:rPr>
                <w:rFonts w:hint="eastAsia" w:ascii="仿宋" w:hAnsi="仿宋" w:eastAsia="仿宋"/>
                <w:sz w:val="24"/>
                <w:u w:val="single"/>
              </w:rPr>
              <w:t>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0"/>
              <w:tblW w:w="8405" w:type="dxa"/>
              <w:tblInd w:w="0" w:type="dxa"/>
              <w:tblLayout w:type="fixed"/>
              <w:tblCellMar>
                <w:top w:w="0" w:type="dxa"/>
                <w:left w:w="0" w:type="dxa"/>
                <w:bottom w:w="0" w:type="dxa"/>
                <w:right w:w="0" w:type="dxa"/>
              </w:tblCellMar>
            </w:tblPr>
            <w:tblGrid>
              <w:gridCol w:w="689"/>
              <w:gridCol w:w="1843"/>
              <w:gridCol w:w="1939"/>
              <w:gridCol w:w="578"/>
              <w:gridCol w:w="645"/>
              <w:gridCol w:w="963"/>
              <w:gridCol w:w="882"/>
              <w:gridCol w:w="866"/>
            </w:tblGrid>
            <w:tr>
              <w:tblPrEx>
                <w:tblLayout w:type="fixed"/>
                <w:tblCellMar>
                  <w:top w:w="0" w:type="dxa"/>
                  <w:left w:w="0" w:type="dxa"/>
                  <w:bottom w:w="0" w:type="dxa"/>
                  <w:right w:w="0" w:type="dxa"/>
                </w:tblCellMar>
              </w:tblPrEx>
              <w:trPr>
                <w:trHeight w:val="540"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材料名称</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单位</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品牌/厂家</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价格（元）（含税）</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备注</w:t>
                  </w:r>
                </w:p>
              </w:tc>
            </w:tr>
            <w:tr>
              <w:tblPrEx>
                <w:tblLayout w:type="fixed"/>
                <w:tblCellMar>
                  <w:top w:w="0" w:type="dxa"/>
                  <w:left w:w="0" w:type="dxa"/>
                  <w:bottom w:w="0" w:type="dxa"/>
                  <w:right w:w="0" w:type="dxa"/>
                </w:tblCellMar>
              </w:tblPrEx>
              <w:trPr>
                <w:trHeight w:val="1047"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新华三交换机（含光模块2个）</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S5120V2-28P-PWR-LI</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pPr>
                  <w:r>
                    <w:rPr>
                      <w:rFonts w:hint="eastAsia"/>
                    </w:rPr>
                    <w:t>套</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新华三</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93"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霍尼韦尔模块箱</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PW5K2ENC2</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只</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霍尼韦尔</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霍尼韦尔门禁读卡器</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CA-FP100-FIC</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霍尼韦尔</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霍尼韦尔门禁控制器</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PW6K1R2</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霍尼韦尔</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人脸识别门禁一体机(闸机版)</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r>
                    <w:rPr>
                      <w:rFonts w:hint="eastAsia" w:ascii="宋体" w:hAnsi="宋体" w:cs="宋体"/>
                      <w:color w:val="000000"/>
                      <w:sz w:val="20"/>
                      <w:szCs w:val="20"/>
                    </w:rPr>
                    <w:t>含软件</w:t>
                  </w: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人脸识别门禁一体机(门禁版)</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6</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台</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r>
                    <w:rPr>
                      <w:rFonts w:hint="eastAsia" w:ascii="宋体" w:hAnsi="宋体" w:cs="宋体"/>
                      <w:color w:val="000000"/>
                      <w:sz w:val="20"/>
                      <w:szCs w:val="20"/>
                    </w:rPr>
                    <w:t>含软件</w:t>
                  </w: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重庆绿色智能研究院身份识别数据分析处理及系统管理平台</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套</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rPr>
                      <w:rFonts w:ascii="仿宋" w:hAnsi="仿宋" w:eastAsia="仿宋" w:cs="宋体"/>
                      <w:color w:val="000000"/>
                      <w:sz w:val="18"/>
                      <w:szCs w:val="18"/>
                    </w:rPr>
                  </w:pPr>
                  <w:r>
                    <w:rPr>
                      <w:rFonts w:hint="eastAsia" w:ascii="宋体" w:hAnsi="宋体" w:cs="宋体"/>
                      <w:color w:val="000000"/>
                      <w:sz w:val="20"/>
                      <w:szCs w:val="20"/>
                    </w:rPr>
                    <w:t>含</w:t>
                  </w:r>
                  <w:r>
                    <w:rPr>
                      <w:rFonts w:ascii="宋体" w:hAnsi="宋体" w:cs="宋体"/>
                      <w:color w:val="000000"/>
                      <w:sz w:val="20"/>
                      <w:szCs w:val="20"/>
                    </w:rPr>
                    <w:t>安装调试等费用</w:t>
                  </w: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捷顺应用软件二次开发</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1</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r>
                    <w:rPr>
                      <w:rFonts w:hint="eastAsia" w:ascii="仿宋" w:hAnsi="仿宋" w:eastAsia="仿宋"/>
                      <w:sz w:val="24"/>
                    </w:rPr>
                    <w:t>项</w:t>
                  </w:r>
                </w:p>
              </w:tc>
              <w:tc>
                <w:tcPr>
                  <w:tcW w:w="96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sz w:val="24"/>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left"/>
                    <w:rPr>
                      <w:rFonts w:ascii="仿宋" w:hAnsi="仿宋" w:eastAsia="仿宋"/>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rPr>
                      <w:rFonts w:ascii="仿宋" w:hAnsi="仿宋" w:eastAsia="仿宋" w:cs="宋体"/>
                      <w:color w:val="000000"/>
                      <w:sz w:val="18"/>
                      <w:szCs w:val="18"/>
                    </w:rPr>
                  </w:pPr>
                  <w:r>
                    <w:rPr>
                      <w:rFonts w:hint="eastAsia" w:ascii="宋体" w:hAnsi="宋体" w:cs="宋体"/>
                      <w:color w:val="000000"/>
                      <w:sz w:val="20"/>
                      <w:szCs w:val="20"/>
                    </w:rPr>
                    <w:t>含</w:t>
                  </w:r>
                  <w:r>
                    <w:rPr>
                      <w:rFonts w:ascii="宋体" w:hAnsi="宋体" w:cs="宋体"/>
                      <w:color w:val="000000"/>
                      <w:sz w:val="20"/>
                      <w:szCs w:val="20"/>
                    </w:rPr>
                    <w:t>安装调试等费用</w:t>
                  </w:r>
                </w:p>
              </w:tc>
            </w:tr>
          </w:tbl>
          <w:p>
            <w:pPr>
              <w:spacing w:line="360" w:lineRule="auto"/>
              <w:rPr>
                <w:rFonts w:ascii="仿宋" w:hAnsi="仿宋" w:eastAsia="仿宋" w:cs="宋体"/>
                <w:color w:val="000000"/>
                <w:sz w:val="24"/>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w:t>
      </w:r>
      <w:r>
        <w:rPr>
          <w:rFonts w:hint="eastAsia" w:ascii="仿宋" w:hAnsi="仿宋" w:eastAsia="仿宋"/>
          <w:sz w:val="24"/>
          <w:lang w:eastAsia="zh-CN"/>
        </w:rPr>
        <w:t>业主方</w:t>
      </w:r>
      <w:r>
        <w:rPr>
          <w:rFonts w:hint="eastAsia" w:ascii="仿宋" w:hAnsi="仿宋" w:eastAsia="仿宋"/>
          <w:sz w:val="24"/>
        </w:rPr>
        <w:t>工程款后15日内甲方支付合同总价</w:t>
      </w:r>
      <w:r>
        <w:rPr>
          <w:rFonts w:ascii="仿宋" w:hAnsi="仿宋" w:eastAsia="仿宋"/>
          <w:sz w:val="24"/>
        </w:rPr>
        <w:t>95%</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ascii="仿宋" w:hAnsi="仿宋" w:eastAsia="仿宋"/>
          <w:sz w:val="24"/>
        </w:rPr>
        <w:t>5%</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w:t>
      </w:r>
      <w:r>
        <w:rPr>
          <w:rFonts w:hint="eastAsia" w:ascii="仿宋" w:hAnsi="仿宋" w:eastAsia="仿宋"/>
          <w:sz w:val="24"/>
          <w:highlight w:val="yellow"/>
          <w:u w:val="single"/>
        </w:rPr>
        <w:t>：</w:t>
      </w:r>
      <w:r>
        <w:rPr>
          <w:rFonts w:hint="eastAsia" w:ascii="仿宋" w:hAnsi="仿宋" w:eastAsia="仿宋"/>
          <w:sz w:val="24"/>
          <w:highlight w:val="yellow"/>
          <w:u w:val="single"/>
          <w:lang w:val="en-US" w:eastAsia="zh-CN"/>
        </w:rPr>
        <w:t>25</w:t>
      </w:r>
      <w:r>
        <w:rPr>
          <w:rFonts w:hint="eastAsia" w:ascii="仿宋" w:hAnsi="仿宋" w:eastAsia="仿宋"/>
          <w:sz w:val="24"/>
          <w:highlight w:val="yellow"/>
          <w:u w:val="single"/>
        </w:rPr>
        <w:t>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支付合同总金额千分之三的违约金。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b/>
          <w:bCs/>
          <w:sz w:val="28"/>
          <w:szCs w:val="28"/>
        </w:rPr>
      </w:pPr>
      <w:r>
        <w:rPr>
          <w:rFonts w:hint="eastAsia" w:ascii="仿宋" w:hAnsi="仿宋" w:eastAsia="仿宋"/>
          <w:b/>
          <w:bCs/>
          <w:sz w:val="28"/>
          <w:szCs w:val="28"/>
        </w:rPr>
        <w:br w:type="page"/>
      </w: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rPr>
        <w:t xml:space="preserve">重庆机场ITC安全防护补充项目设备采购部分       </w:t>
      </w:r>
    </w:p>
    <w:p>
      <w:pPr>
        <w:widowControl/>
        <w:ind w:firstLine="281" w:firstLineChars="100"/>
        <w:jc w:val="center"/>
        <w:rPr>
          <w:rFonts w:ascii="仿宋" w:hAnsi="仿宋" w:eastAsia="仿宋"/>
          <w:b/>
          <w:bCs/>
          <w:sz w:val="24"/>
        </w:rPr>
      </w:pPr>
      <w:r>
        <w:rPr>
          <w:rFonts w:hint="eastAsia" w:ascii="仿宋" w:hAnsi="仿宋" w:eastAsia="仿宋"/>
          <w:b/>
          <w:bCs/>
          <w:sz w:val="28"/>
          <w:szCs w:val="28"/>
        </w:rPr>
        <w:t xml:space="preserve"> 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9645" w:type="dxa"/>
        <w:jc w:val="center"/>
        <w:tblInd w:w="0" w:type="dxa"/>
        <w:tblLayout w:type="fixed"/>
        <w:tblCellMar>
          <w:top w:w="0" w:type="dxa"/>
          <w:left w:w="0" w:type="dxa"/>
          <w:bottom w:w="0" w:type="dxa"/>
          <w:right w:w="0" w:type="dxa"/>
        </w:tblCellMar>
      </w:tblPr>
      <w:tblGrid>
        <w:gridCol w:w="567"/>
        <w:gridCol w:w="2574"/>
        <w:gridCol w:w="1958"/>
        <w:gridCol w:w="730"/>
        <w:gridCol w:w="1470"/>
        <w:gridCol w:w="716"/>
        <w:gridCol w:w="1630"/>
      </w:tblGrid>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材料名称</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规格型号</w:t>
            </w:r>
          </w:p>
        </w:tc>
        <w:tc>
          <w:tcPr>
            <w:tcW w:w="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单价控制价(元)（含税）</w:t>
            </w:r>
          </w:p>
        </w:tc>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新华三交换机（含光模块2个）</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S5120V2-28P-PWR-LI</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rPr>
                <w:kern w:val="0"/>
                <w:sz w:val="18"/>
                <w:szCs w:val="18"/>
              </w:rPr>
            </w:pPr>
            <w:r>
              <w:rPr>
                <w:rFonts w:hint="eastAsia"/>
                <w:sz w:val="18"/>
                <w:szCs w:val="18"/>
              </w:rPr>
              <w:t>4370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霍尼韦尔模块箱</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PW5K2ENC2</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3200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1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20"/>
                <w:szCs w:val="20"/>
              </w:rPr>
            </w:pP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霍尼韦尔门禁读卡器</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CA-FP100-FIC</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3200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霍尼韦尔门禁控制器</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PW6K1R2</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5100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人脸识别门禁一体机(闸机版)</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7500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含软件</w:t>
            </w: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Firefly 人脸识别门禁一体机(门禁版)</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FACE-X1</w:t>
            </w: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7500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含软件</w:t>
            </w: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重庆绿色智能研究院身份识别数据分析处理及系统管理平台</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color w:val="FF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19000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含</w:t>
            </w:r>
            <w:r>
              <w:rPr>
                <w:rFonts w:ascii="宋体" w:hAnsi="宋体" w:cs="宋体"/>
                <w:color w:val="000000"/>
                <w:sz w:val="20"/>
                <w:szCs w:val="20"/>
              </w:rPr>
              <w:t>安装调试等费用</w:t>
            </w:r>
          </w:p>
        </w:tc>
      </w:tr>
      <w:tr>
        <w:tblPrEx>
          <w:tblLayout w:type="fixed"/>
          <w:tblCellMar>
            <w:top w:w="0" w:type="dxa"/>
            <w:left w:w="0" w:type="dxa"/>
            <w:bottom w:w="0" w:type="dxa"/>
            <w:right w:w="0" w:type="dxa"/>
          </w:tblCellMar>
        </w:tblPrEx>
        <w:trPr>
          <w:trHeight w:val="600"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捷顺应用软件二次开发</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ascii="宋体" w:hAnsi="宋体" w:cs="宋体"/>
                <w:color w:val="FF0000"/>
                <w:sz w:val="20"/>
                <w:szCs w:val="20"/>
              </w:rPr>
            </w:pPr>
          </w:p>
        </w:tc>
        <w:tc>
          <w:tcPr>
            <w:tcW w:w="73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sz w:val="18"/>
                <w:szCs w:val="18"/>
              </w:rPr>
            </w:pPr>
            <w:r>
              <w:rPr>
                <w:rFonts w:hint="eastAsia"/>
                <w:sz w:val="18"/>
                <w:szCs w:val="18"/>
              </w:rPr>
              <w:t>30000</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0"/>
                <w:szCs w:val="20"/>
              </w:rPr>
            </w:pPr>
            <w:r>
              <w:rPr>
                <w:rFonts w:hint="eastAsia" w:ascii="宋体" w:hAnsi="宋体" w:cs="宋体"/>
                <w:color w:val="000000"/>
                <w:sz w:val="20"/>
                <w:szCs w:val="20"/>
              </w:rPr>
              <w:t>含</w:t>
            </w:r>
            <w:r>
              <w:rPr>
                <w:rFonts w:ascii="宋体" w:hAnsi="宋体" w:cs="宋体"/>
                <w:color w:val="000000"/>
                <w:sz w:val="20"/>
                <w:szCs w:val="20"/>
              </w:rPr>
              <w:t>安装调试等费用</w:t>
            </w: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D36F1"/>
    <w:rsid w:val="04DC49B4"/>
    <w:rsid w:val="04E173DC"/>
    <w:rsid w:val="05DD065B"/>
    <w:rsid w:val="05DE2A59"/>
    <w:rsid w:val="05DE45EA"/>
    <w:rsid w:val="05ED29B0"/>
    <w:rsid w:val="05EE3D5A"/>
    <w:rsid w:val="06D33FBE"/>
    <w:rsid w:val="06EE4464"/>
    <w:rsid w:val="07171C1B"/>
    <w:rsid w:val="079549E8"/>
    <w:rsid w:val="085B6EDE"/>
    <w:rsid w:val="08D45A74"/>
    <w:rsid w:val="08E160B8"/>
    <w:rsid w:val="08FF244A"/>
    <w:rsid w:val="09246C1B"/>
    <w:rsid w:val="09BB7300"/>
    <w:rsid w:val="0A5F6882"/>
    <w:rsid w:val="0A6E7E51"/>
    <w:rsid w:val="0A8D264E"/>
    <w:rsid w:val="0AE0658D"/>
    <w:rsid w:val="0B5701A3"/>
    <w:rsid w:val="0C0609F0"/>
    <w:rsid w:val="0C401EE8"/>
    <w:rsid w:val="0C890AD3"/>
    <w:rsid w:val="0CEA1C82"/>
    <w:rsid w:val="0D697EF1"/>
    <w:rsid w:val="0DB10572"/>
    <w:rsid w:val="0DFE280D"/>
    <w:rsid w:val="0E6A66D5"/>
    <w:rsid w:val="0EE204C1"/>
    <w:rsid w:val="0FDA4843"/>
    <w:rsid w:val="101F041B"/>
    <w:rsid w:val="10AC492F"/>
    <w:rsid w:val="113D1148"/>
    <w:rsid w:val="116F11BE"/>
    <w:rsid w:val="119D38B7"/>
    <w:rsid w:val="11C0011E"/>
    <w:rsid w:val="122825DB"/>
    <w:rsid w:val="12752C72"/>
    <w:rsid w:val="128A7F52"/>
    <w:rsid w:val="13FD21B1"/>
    <w:rsid w:val="14CD50D8"/>
    <w:rsid w:val="14D47EBD"/>
    <w:rsid w:val="15033FE0"/>
    <w:rsid w:val="152C06AE"/>
    <w:rsid w:val="15E20F91"/>
    <w:rsid w:val="160A5049"/>
    <w:rsid w:val="16165439"/>
    <w:rsid w:val="1625796D"/>
    <w:rsid w:val="1627241F"/>
    <w:rsid w:val="16363620"/>
    <w:rsid w:val="16432A7A"/>
    <w:rsid w:val="165A02FA"/>
    <w:rsid w:val="16971845"/>
    <w:rsid w:val="174A688F"/>
    <w:rsid w:val="175242C7"/>
    <w:rsid w:val="175544BB"/>
    <w:rsid w:val="17970D90"/>
    <w:rsid w:val="17F93F93"/>
    <w:rsid w:val="18D36EAE"/>
    <w:rsid w:val="19626BFD"/>
    <w:rsid w:val="1983044A"/>
    <w:rsid w:val="19A427A8"/>
    <w:rsid w:val="19C839E8"/>
    <w:rsid w:val="1A2228AF"/>
    <w:rsid w:val="1A420C07"/>
    <w:rsid w:val="1B0D7369"/>
    <w:rsid w:val="1BE077D8"/>
    <w:rsid w:val="1C2D30C9"/>
    <w:rsid w:val="1C745B34"/>
    <w:rsid w:val="1CCB75B8"/>
    <w:rsid w:val="1D0D0251"/>
    <w:rsid w:val="1D313898"/>
    <w:rsid w:val="1E15399E"/>
    <w:rsid w:val="1E3A1C99"/>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F158C4"/>
    <w:rsid w:val="26581F98"/>
    <w:rsid w:val="26CF6D64"/>
    <w:rsid w:val="270C70B1"/>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886A1F"/>
    <w:rsid w:val="2ACF6191"/>
    <w:rsid w:val="2AFB0753"/>
    <w:rsid w:val="2B0B1682"/>
    <w:rsid w:val="2B2C09E9"/>
    <w:rsid w:val="2B3A1A60"/>
    <w:rsid w:val="2B422B60"/>
    <w:rsid w:val="2B8C5FA1"/>
    <w:rsid w:val="2BC12875"/>
    <w:rsid w:val="2C091D06"/>
    <w:rsid w:val="2C16541C"/>
    <w:rsid w:val="2C5A5444"/>
    <w:rsid w:val="2C7D3E37"/>
    <w:rsid w:val="2C8C24C3"/>
    <w:rsid w:val="2D322A9D"/>
    <w:rsid w:val="2DBC0AB8"/>
    <w:rsid w:val="2E351142"/>
    <w:rsid w:val="2E49193D"/>
    <w:rsid w:val="2E7956AC"/>
    <w:rsid w:val="2E975453"/>
    <w:rsid w:val="2F48389C"/>
    <w:rsid w:val="2F982E47"/>
    <w:rsid w:val="2FC560AA"/>
    <w:rsid w:val="2FEF6FF5"/>
    <w:rsid w:val="306E5AFE"/>
    <w:rsid w:val="30FA694C"/>
    <w:rsid w:val="3104791D"/>
    <w:rsid w:val="311650D9"/>
    <w:rsid w:val="318851A1"/>
    <w:rsid w:val="323334EC"/>
    <w:rsid w:val="328E28C7"/>
    <w:rsid w:val="32EA73D6"/>
    <w:rsid w:val="337B5382"/>
    <w:rsid w:val="33AF34D3"/>
    <w:rsid w:val="342B2ED6"/>
    <w:rsid w:val="34343A82"/>
    <w:rsid w:val="34595714"/>
    <w:rsid w:val="34F77126"/>
    <w:rsid w:val="35040C78"/>
    <w:rsid w:val="35130758"/>
    <w:rsid w:val="35BC4E16"/>
    <w:rsid w:val="3636118E"/>
    <w:rsid w:val="36672AD3"/>
    <w:rsid w:val="36FA784A"/>
    <w:rsid w:val="374C347F"/>
    <w:rsid w:val="377E3C13"/>
    <w:rsid w:val="37FF5031"/>
    <w:rsid w:val="3825428A"/>
    <w:rsid w:val="387706FF"/>
    <w:rsid w:val="38CD718B"/>
    <w:rsid w:val="3A1B3543"/>
    <w:rsid w:val="3A5A1F4A"/>
    <w:rsid w:val="3BEC41B7"/>
    <w:rsid w:val="3D1A2308"/>
    <w:rsid w:val="3DEE00AE"/>
    <w:rsid w:val="3E2104AE"/>
    <w:rsid w:val="3E28650F"/>
    <w:rsid w:val="3ECE6689"/>
    <w:rsid w:val="3EDF26AA"/>
    <w:rsid w:val="4013435D"/>
    <w:rsid w:val="40F800CF"/>
    <w:rsid w:val="417B2F54"/>
    <w:rsid w:val="41B11798"/>
    <w:rsid w:val="426725A7"/>
    <w:rsid w:val="42EF0351"/>
    <w:rsid w:val="440C1689"/>
    <w:rsid w:val="441B66C8"/>
    <w:rsid w:val="442842F0"/>
    <w:rsid w:val="44BE2617"/>
    <w:rsid w:val="44EC012D"/>
    <w:rsid w:val="45993F05"/>
    <w:rsid w:val="45DD005A"/>
    <w:rsid w:val="46F3618C"/>
    <w:rsid w:val="4793640D"/>
    <w:rsid w:val="482F185E"/>
    <w:rsid w:val="48C26992"/>
    <w:rsid w:val="48FF297D"/>
    <w:rsid w:val="49553184"/>
    <w:rsid w:val="4AD13E29"/>
    <w:rsid w:val="4B872194"/>
    <w:rsid w:val="4C712A40"/>
    <w:rsid w:val="4C792900"/>
    <w:rsid w:val="4C9D3B46"/>
    <w:rsid w:val="4D1C588A"/>
    <w:rsid w:val="4DBA5C06"/>
    <w:rsid w:val="4DD26B7B"/>
    <w:rsid w:val="4E14393B"/>
    <w:rsid w:val="4E476885"/>
    <w:rsid w:val="4E603E20"/>
    <w:rsid w:val="50B2647B"/>
    <w:rsid w:val="521C4028"/>
    <w:rsid w:val="52345C4E"/>
    <w:rsid w:val="523B433E"/>
    <w:rsid w:val="52784E5F"/>
    <w:rsid w:val="52A714E5"/>
    <w:rsid w:val="530E6F63"/>
    <w:rsid w:val="539F3D8B"/>
    <w:rsid w:val="53FE7E67"/>
    <w:rsid w:val="54451B67"/>
    <w:rsid w:val="54E07F8D"/>
    <w:rsid w:val="558767ED"/>
    <w:rsid w:val="568323A8"/>
    <w:rsid w:val="568901A0"/>
    <w:rsid w:val="56BA6E44"/>
    <w:rsid w:val="56FE6682"/>
    <w:rsid w:val="57522FFD"/>
    <w:rsid w:val="57A71AC0"/>
    <w:rsid w:val="57D06864"/>
    <w:rsid w:val="582339D7"/>
    <w:rsid w:val="58C67090"/>
    <w:rsid w:val="59125AE4"/>
    <w:rsid w:val="59B61060"/>
    <w:rsid w:val="5A873CE0"/>
    <w:rsid w:val="5AE23BE3"/>
    <w:rsid w:val="5AF31BCD"/>
    <w:rsid w:val="5B087FB0"/>
    <w:rsid w:val="5B1F007F"/>
    <w:rsid w:val="5B322D41"/>
    <w:rsid w:val="5BDD2B05"/>
    <w:rsid w:val="5C006E51"/>
    <w:rsid w:val="5C0B5920"/>
    <w:rsid w:val="5C5A75D2"/>
    <w:rsid w:val="5CD130D9"/>
    <w:rsid w:val="5CD454F5"/>
    <w:rsid w:val="5D0237C2"/>
    <w:rsid w:val="5DA106F7"/>
    <w:rsid w:val="5DEF309A"/>
    <w:rsid w:val="5FBC3540"/>
    <w:rsid w:val="5FF70ED4"/>
    <w:rsid w:val="603B6EC4"/>
    <w:rsid w:val="603C4BB5"/>
    <w:rsid w:val="603D59FA"/>
    <w:rsid w:val="60681418"/>
    <w:rsid w:val="60AD55DA"/>
    <w:rsid w:val="611048B5"/>
    <w:rsid w:val="613A160B"/>
    <w:rsid w:val="61CF24E8"/>
    <w:rsid w:val="61D61A41"/>
    <w:rsid w:val="62520716"/>
    <w:rsid w:val="62FD0C6A"/>
    <w:rsid w:val="639745D8"/>
    <w:rsid w:val="63AC2620"/>
    <w:rsid w:val="63FC7CE8"/>
    <w:rsid w:val="644C32C9"/>
    <w:rsid w:val="64D803FA"/>
    <w:rsid w:val="64E8040F"/>
    <w:rsid w:val="64E920F0"/>
    <w:rsid w:val="64FE3A61"/>
    <w:rsid w:val="661E6EFC"/>
    <w:rsid w:val="662413B5"/>
    <w:rsid w:val="66C23895"/>
    <w:rsid w:val="66D64C57"/>
    <w:rsid w:val="67767AF4"/>
    <w:rsid w:val="67B745ED"/>
    <w:rsid w:val="67CE095C"/>
    <w:rsid w:val="67CF06BE"/>
    <w:rsid w:val="682F3039"/>
    <w:rsid w:val="6871545D"/>
    <w:rsid w:val="68AA6BC6"/>
    <w:rsid w:val="68C06B62"/>
    <w:rsid w:val="690C1EBD"/>
    <w:rsid w:val="6944057A"/>
    <w:rsid w:val="695D6CFD"/>
    <w:rsid w:val="69932B73"/>
    <w:rsid w:val="69F00887"/>
    <w:rsid w:val="6A292511"/>
    <w:rsid w:val="6B3B0E45"/>
    <w:rsid w:val="6BDD4A84"/>
    <w:rsid w:val="6C4B5799"/>
    <w:rsid w:val="6C5263B2"/>
    <w:rsid w:val="6C9C7DC5"/>
    <w:rsid w:val="6CAC0916"/>
    <w:rsid w:val="6CFF159A"/>
    <w:rsid w:val="6D732E3B"/>
    <w:rsid w:val="6DEE7992"/>
    <w:rsid w:val="6E5A0E7F"/>
    <w:rsid w:val="6E5D2B20"/>
    <w:rsid w:val="6E902CB6"/>
    <w:rsid w:val="6ECA59F4"/>
    <w:rsid w:val="6ED329CF"/>
    <w:rsid w:val="6F501FC3"/>
    <w:rsid w:val="6F7529C5"/>
    <w:rsid w:val="70116847"/>
    <w:rsid w:val="709E666D"/>
    <w:rsid w:val="70F94FCC"/>
    <w:rsid w:val="716364D7"/>
    <w:rsid w:val="71C90491"/>
    <w:rsid w:val="72536C66"/>
    <w:rsid w:val="7349356E"/>
    <w:rsid w:val="73E57072"/>
    <w:rsid w:val="741E58EE"/>
    <w:rsid w:val="7433369D"/>
    <w:rsid w:val="74615A10"/>
    <w:rsid w:val="74917947"/>
    <w:rsid w:val="74A514E0"/>
    <w:rsid w:val="74EC065D"/>
    <w:rsid w:val="75573FE5"/>
    <w:rsid w:val="757D5DFC"/>
    <w:rsid w:val="757E5F28"/>
    <w:rsid w:val="75F12B83"/>
    <w:rsid w:val="765C752B"/>
    <w:rsid w:val="76DF07AC"/>
    <w:rsid w:val="76FC4C27"/>
    <w:rsid w:val="7704403C"/>
    <w:rsid w:val="773E08B1"/>
    <w:rsid w:val="77900EED"/>
    <w:rsid w:val="78AD40BA"/>
    <w:rsid w:val="796B60F9"/>
    <w:rsid w:val="79857E34"/>
    <w:rsid w:val="79865CE0"/>
    <w:rsid w:val="7A0B7B7F"/>
    <w:rsid w:val="7A3966FC"/>
    <w:rsid w:val="7A3F37FB"/>
    <w:rsid w:val="7A5D6BAB"/>
    <w:rsid w:val="7A5F6329"/>
    <w:rsid w:val="7A7B6549"/>
    <w:rsid w:val="7ADE5D8F"/>
    <w:rsid w:val="7B262855"/>
    <w:rsid w:val="7B813D7B"/>
    <w:rsid w:val="7C186EA8"/>
    <w:rsid w:val="7C7447E2"/>
    <w:rsid w:val="7CE329AD"/>
    <w:rsid w:val="7D3B2DAA"/>
    <w:rsid w:val="7DAB1BD6"/>
    <w:rsid w:val="7DC06B1E"/>
    <w:rsid w:val="7DC1580F"/>
    <w:rsid w:val="7DD63251"/>
    <w:rsid w:val="7E1D5B12"/>
    <w:rsid w:val="7E41449A"/>
    <w:rsid w:val="7E6459CD"/>
    <w:rsid w:val="7EBE2B49"/>
    <w:rsid w:val="7EC350EB"/>
    <w:rsid w:val="7F172317"/>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4ED5A-9994-4FDA-8121-84DFED5761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1360</Words>
  <Characters>7754</Characters>
  <Lines>64</Lines>
  <Paragraphs>18</Paragraphs>
  <TotalTime>1</TotalTime>
  <ScaleCrop>false</ScaleCrop>
  <LinksUpToDate>false</LinksUpToDate>
  <CharactersWithSpaces>9096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YJ</cp:lastModifiedBy>
  <cp:lastPrinted>2020-07-30T08:36:00Z</cp:lastPrinted>
  <dcterms:modified xsi:type="dcterms:W3CDTF">2020-12-11T07:09:55Z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