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auto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color w:val="auto"/>
          <w:sz w:val="52"/>
          <w:szCs w:val="52"/>
        </w:rPr>
      </w:pPr>
      <w:r>
        <w:rPr>
          <w:rFonts w:hint="eastAsia" w:ascii="方正小标宋_GBK" w:eastAsia="方正小标宋_GBK"/>
          <w:color w:val="auto"/>
          <w:sz w:val="52"/>
          <w:szCs w:val="52"/>
        </w:rPr>
        <w:t>重庆机场</w:t>
      </w:r>
      <w:r>
        <w:rPr>
          <w:rFonts w:hint="eastAsia" w:ascii="方正小标宋_GBK" w:eastAsia="方正小标宋_GBK"/>
          <w:color w:val="auto"/>
          <w:sz w:val="52"/>
          <w:szCs w:val="52"/>
          <w:lang w:eastAsia="zh-CN"/>
        </w:rPr>
        <w:t>空港服务</w:t>
      </w:r>
      <w:r>
        <w:rPr>
          <w:rFonts w:hint="eastAsia" w:ascii="方正小标宋_GBK" w:eastAsia="方正小标宋_GBK"/>
          <w:color w:val="auto"/>
          <w:sz w:val="52"/>
          <w:szCs w:val="52"/>
        </w:rPr>
        <w:t>有限</w:t>
      </w:r>
      <w:r>
        <w:rPr>
          <w:rFonts w:hint="eastAsia" w:ascii="方正小标宋_GBK" w:eastAsia="方正小标宋_GBK"/>
          <w:color w:val="auto"/>
          <w:sz w:val="52"/>
          <w:szCs w:val="52"/>
          <w:lang w:eastAsia="zh-CN"/>
        </w:rPr>
        <w:t>责任</w:t>
      </w:r>
      <w:r>
        <w:rPr>
          <w:rFonts w:hint="eastAsia" w:ascii="方正小标宋_GBK" w:eastAsia="方正小标宋_GBK"/>
          <w:color w:val="auto"/>
          <w:sz w:val="52"/>
          <w:szCs w:val="52"/>
        </w:rPr>
        <w:t>公司</w:t>
      </w:r>
    </w:p>
    <w:p>
      <w:pPr>
        <w:jc w:val="center"/>
        <w:rPr>
          <w:rFonts w:ascii="仿宋" w:hAnsi="仿宋" w:eastAsia="仿宋"/>
          <w:b/>
          <w:color w:val="auto"/>
          <w:sz w:val="52"/>
          <w:szCs w:val="52"/>
        </w:rPr>
      </w:pPr>
    </w:p>
    <w:p>
      <w:pPr>
        <w:jc w:val="center"/>
        <w:rPr>
          <w:rFonts w:hint="eastAsia" w:ascii="方正小标宋简体" w:hAnsi="仿宋" w:eastAsia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shd w:val="clear" w:color="auto" w:fill="auto"/>
          <w:lang w:val="en-US" w:eastAsia="zh-CN"/>
        </w:rPr>
        <w:t>机场宾馆粮油、干副、调料供应商采购项目询价文件（二次）</w:t>
      </w:r>
    </w:p>
    <w:p>
      <w:pPr>
        <w:jc w:val="center"/>
        <w:rPr>
          <w:rFonts w:ascii="仿宋" w:hAnsi="仿宋" w:eastAsia="仿宋"/>
          <w:b/>
          <w:color w:val="auto"/>
          <w:sz w:val="32"/>
        </w:rPr>
      </w:pPr>
    </w:p>
    <w:p>
      <w:pPr>
        <w:jc w:val="center"/>
        <w:rPr>
          <w:rFonts w:ascii="仿宋" w:hAnsi="仿宋" w:eastAsia="仿宋"/>
          <w:b/>
          <w:color w:val="auto"/>
          <w:sz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lang w:val="en-US"/>
        </w:rPr>
      </w:pPr>
      <w:r>
        <w:rPr>
          <w:rFonts w:hint="eastAsia" w:ascii="方正小标宋简体" w:eastAsia="方正小标宋简体"/>
          <w:color w:val="auto"/>
          <w:sz w:val="32"/>
        </w:rPr>
        <w:t>编号：</w:t>
      </w:r>
      <w:r>
        <w:rPr>
          <w:rFonts w:hint="eastAsia" w:ascii="方正小标宋简体" w:eastAsia="方正小标宋简体"/>
          <w:color w:val="auto"/>
          <w:sz w:val="32"/>
          <w:lang w:val="en-US" w:eastAsia="zh-CN"/>
        </w:rPr>
        <w:t>2020-24</w:t>
      </w:r>
    </w:p>
    <w:p>
      <w:pPr>
        <w:jc w:val="center"/>
        <w:rPr>
          <w:rFonts w:ascii="仿宋" w:hAnsi="仿宋" w:eastAsia="仿宋"/>
          <w:b/>
          <w:color w:val="auto"/>
          <w:sz w:val="32"/>
        </w:rPr>
      </w:pPr>
    </w:p>
    <w:p>
      <w:pPr>
        <w:rPr>
          <w:rFonts w:ascii="仿宋" w:hAnsi="仿宋" w:eastAsia="仿宋"/>
          <w:b/>
          <w:color w:val="auto"/>
          <w:sz w:val="52"/>
        </w:rPr>
      </w:pPr>
    </w:p>
    <w:p>
      <w:pPr>
        <w:jc w:val="center"/>
        <w:rPr>
          <w:rFonts w:ascii="仿宋" w:hAnsi="仿宋" w:eastAsia="仿宋"/>
          <w:b/>
          <w:color w:val="auto"/>
          <w:sz w:val="52"/>
        </w:rPr>
      </w:pPr>
    </w:p>
    <w:p>
      <w:pPr>
        <w:jc w:val="center"/>
        <w:rPr>
          <w:rFonts w:ascii="仿宋" w:hAnsi="仿宋" w:eastAsia="仿宋"/>
          <w:b/>
          <w:color w:val="auto"/>
          <w:sz w:val="52"/>
        </w:rPr>
      </w:pPr>
    </w:p>
    <w:p>
      <w:pPr>
        <w:pStyle w:val="2"/>
        <w:rPr>
          <w:rFonts w:ascii="仿宋" w:hAnsi="仿宋" w:eastAsia="仿宋"/>
          <w:b/>
          <w:color w:val="auto"/>
          <w:sz w:val="52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重庆机场空港服务有限责任公司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ind w:firstLine="3200" w:firstLineChars="1000"/>
        <w:jc w:val="both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小标宋简体" w:eastAsia="方正小标宋简体"/>
          <w:color w:val="auto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color w:val="auto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方正小标宋简体" w:eastAsia="方正小标宋简体"/>
          <w:color w:val="auto"/>
          <w:sz w:val="32"/>
          <w:szCs w:val="32"/>
        </w:rPr>
        <w:t>月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机场宾馆粮油、干副、调料采购项目询价文件（二次）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我司决定于近期寻找提供粮油、干副、调料的供应商进行合作，现邀请符合相应条件的供应商参加询价。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562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eastAsia="zh-CN"/>
        </w:rPr>
        <w:t>一、项目内容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  <w:t>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562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val="en-US" w:eastAsia="zh-CN"/>
        </w:rPr>
        <w:t>1.项目内容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机场宾馆需要的粮油、干副、调料等具体产品详见《机场宾馆粮油、干副、调料产品目录表》。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  <w:t>项目要求及报价要求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（1） 项目要求：响应人所提供产品质量必须要符合《食品安全法》、《食品生产通用卫生规范》等法律法规要求，不得有掺假、变质、变味、过期等现象出现，严禁供应伪劣、假冒、无证不合格物品。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（2）供货时需提供所供商品的检测报告。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按附件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机场宾馆粮油、干副、调料报价表》进行分项报价，所报商品均为含税报价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2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  <w:t>二、合格报价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lang w:eastAsia="zh-CN"/>
        </w:rPr>
        <w:t>响应人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1.在中华人民共和国依法注册、具有独立法人资格，营业范围包括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预包装食品、散装食品、农副产品，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具有有效营业执照。（须提供营业执照复印件加盖鲜章）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left="0" w:leftChars="0"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2.提供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食品流通许可证或食品经营许可证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3.提供业绩要求: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2018年1月1日至今至少提供三个类似本项目的供应业绩证明（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以合同复印件为准，原合同备查）。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4.有固定的生产经营场所，注册资本10万元及以上。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5.未被“信用中国”网站（www.creditchina.gov.cn）列为失信被执行人（提供相关查询截图并加盖鲜章）。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6.本项目不接受联合体参加，不得转包、分包。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成交标准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本次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成交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确定办法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eastAsia="zh-CN"/>
        </w:rPr>
        <w:t>：满足本次采购合格报价响应人资格的且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机场宾馆粮油、干副、调料报价表》（附件4）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highlight w:val="none"/>
          <w:lang w:val="en-US" w:eastAsia="zh-CN"/>
        </w:rPr>
        <w:t>产品报价中，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  <w:highlight w:val="none"/>
          <w:lang w:eastAsia="zh-CN"/>
        </w:rPr>
        <w:t>最低价产品数量最多者中选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  <w:lang w:eastAsia="zh-CN"/>
        </w:rPr>
        <w:t>（如响应方存在税率不一致，则由采购人询价小组依据相应税率测算不含税价进行对比）。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具体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询价规则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递交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响应文件截止时，送达的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响应文件少于3个的，应停止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活动，将递交的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响应文件退还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响应人，并重新组织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。重新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仍然不足3个单位的，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项目将可以继续进行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如有项目因专业性及特殊性，导致有效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响应人不足3个的，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询价小组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应当否决所有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响应人。但是有效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响应人的经济、技术等指标仍然具有市场竞争力，能够满足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文件要求的，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eastAsia="zh-CN"/>
        </w:rPr>
        <w:t>询价小组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可以继续评审，根据符合采购需求、质量和服务，且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eastAsia="zh-CN"/>
        </w:rPr>
        <w:t>符合成交标准的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原则确定成交候选人。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项目重新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时，经评审有有效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eastAsia="zh-CN"/>
        </w:rPr>
        <w:t>询价响应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人的，应当按规定程序，根据符合采购需求、质量和服务，且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eastAsia="zh-CN"/>
        </w:rPr>
        <w:t>符合成交标准的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原则确定成交候选人。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2" w:firstLineChars="200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8"/>
          <w:szCs w:val="28"/>
        </w:rPr>
        <w:t>四、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文件发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放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的时间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文件及相关资料于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重庆机场空港服务有限责任公司在重庆机场官网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2" w:firstLineChars="200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采购人按月以转帐方式支付货款，以采购人实际购买的商品种类及数量据实结算。供应商必须提供详细的物品销售清单与采购人的收货单核对无误后，供应商开据增值税专用发票并送至采购人后予以付款。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1" w:firstLineChars="196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、工期/到货时间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1.采购人以电话、微信、QQ或电子邮件的形式订货下单；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2.供应商应在采购人订货通知三天内将粮油、干副、调料送至指定地点（机场范围内）。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1" w:firstLineChars="196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七、合同期：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2年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51" w:firstLineChars="196"/>
        <w:jc w:val="left"/>
        <w:textAlignment w:val="bottom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八、询价响应有效期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630" w:firstLineChars="225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90天（自询价响应人提交询价响应文件截止之日起计算）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51" w:firstLineChars="196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8"/>
          <w:szCs w:val="28"/>
        </w:rPr>
        <w:t>文件的编制和提交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630" w:firstLineChars="225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响应方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应当按照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文件的要求编制询价响应文件，询价响应文件应当对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文件提出的要求和条件作出实质性应答。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630" w:firstLineChars="225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询价响应文件应用A4规格纸编制并装订成册，主要由以下几个部分组成：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ottom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封面。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询价响应文件封面及密封袋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封面上须注明“项目名称”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编号”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、“询价响应单位名称”，并加盖单位公章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加盖公章的承诺函（附件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报价部分。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按附件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机场宾馆粮油、干副、调料报价表》进行分项报价，所报商品均为含税报价。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各项报价应包括提供货物的运输、相关税金和服务等全部费用。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提供包括营业执照（复印件），法人代表委托书（原件）、法人身份证复印件、被授权人身份证复印件、业绩证明及服务承诺等（附件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2、附件3、附件5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u w:val="none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zh-CN"/>
        </w:rPr>
        <w:t>询价响应文件装订成册。询价响应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u w:val="none"/>
          <w:lang w:val="zh-CN"/>
        </w:rPr>
        <w:t>文件一式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u w:val="none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u w:val="none"/>
          <w:lang w:val="zh-CN"/>
        </w:rPr>
        <w:t>份，其中正本1份，副本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u w:val="none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u w:val="none"/>
          <w:lang w:val="zh-CN"/>
        </w:rPr>
        <w:t>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51" w:firstLineChars="196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zh-CN"/>
        </w:rPr>
        <w:t>十、询价响应文件作废条款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51" w:firstLineChars="197"/>
        <w:textAlignment w:val="bottom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响应散装或者活页装订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的，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  <w:lang w:eastAsia="zh-CN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未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装袋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密封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的。询价响应文件封面及密封袋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封面上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未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注明“项目名称”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编号”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、“询价响应单位名称”，并未加盖单位公章的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响应文件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中报价函部分、授权部分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无法定代表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签字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（签章）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或签字人无有效授权书的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询价小组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审查发现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响应文件未能对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文件提出的所有实质性要求和条件作出响应的。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有串通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或弄虚作假或有其他违法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违规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行为的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51" w:firstLineChars="196"/>
        <w:textAlignment w:val="bottom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十一、异议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1.询价响应人或其他利害关系人认为采购活动不符合法律、行政等规定的，应当在采购结果公示期之内以书面形式向采购人提出异议（以采购人收到书面异议之日为准）。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2.异议提出人向采购人提起异议时，应当提交异议书。异议书应当包括下列内容：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（1）异议提出人的名称、地址及有效联系方式。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（2）异议事项的基本事实。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（3）异议请求及主张。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（4）有效线索和相关证据、证明材料。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异议提出人是法人的，异议函必须由其法定代表人和委托代理人签字并盖章；异议提出人是其他组织或者自然人的，异议函必须由其主要负责人或者异议提出人本人签字，并附有效身份证明复印件。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3.异议提出人对异议事项提出的请求和主张，有责任提供证据；只有自己陈述而不能提出其他相关证据的，对其请求和主张不予支持。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4.异议提出人不得虚假异议、恶意异议，不得以异议为名排挤竞争对手，阻碍采购活动的正常进行。若出现该情况，视为无效异议，不再受理。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5.异议提出人不得捏造事实，不得伪造材料或者以非法手段取得证明材料提起异议。异议提出人提供证据存在下列情形之一，不能提供合法证明，或者不能合理说明来源的，视为以非法手段取得证明材料，不予采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（1）招标投标法第二十二条规定的招标投标保密信息。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（2）应当保密的采购响应文件（但采购人提起异议时，采购响应文件不作为非法证据）。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（3）招标投标法第四十四条规定保密的投标文件评审和比较情况、中标候选人推荐情况和评标有关的其他情况。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（4）其他依法应当保密的信息和资料。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6.有下列情形之一的异议，不予受理：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（1）异议事项不具体，且未提供有效线索、相关证据和证明材料，难以查证。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（2）未署异议提出人真实姓名、签字和有效联系方式。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（3）未经法定代表人或授权的委托代理人签字并加盖公章，或未经主要负责人或异议提出人本人签字。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（4）不在结果公示期内的。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（5）已对异议事项做出答复的。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注：对询价文件内容的异议应在询价文件规定的质疑期内提出；对询价唱价环节的异议应在询价唱价环节提出。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7.异议处理决定做出前，异议提出人要求撤回异议的，应当以书面形式提出，撤回异议不损害国家利益、社会公共利益或者其他当事人合法权益的，应当准予撤回，异议处理过程终止。异议提出人不得以同一事实和理由再提出异议，若再次提出则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51" w:firstLineChars="196"/>
        <w:textAlignment w:val="bottom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十二、监督机构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重庆机场空港服务有限责任公司廉洁督查小组</w:t>
      </w:r>
    </w:p>
    <w:p>
      <w:pPr>
        <w:keepNext w:val="0"/>
        <w:keepLines w:val="0"/>
        <w:pageBreakBefore w:val="0"/>
        <w:widowControl/>
        <w:tabs>
          <w:tab w:val="left" w:pos="63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地址：重庆机场集团有限公司办公楼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023-67152873、023-67156147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51" w:firstLineChars="196"/>
        <w:textAlignment w:val="bottom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十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询价会议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时间、地点及结果通知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1.时间：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询价会议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  <w:lang w:eastAsia="zh-CN"/>
        </w:rPr>
        <w:t>上午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single"/>
          <w:lang w:val="en-US" w:eastAsia="zh-CN"/>
        </w:rPr>
        <w:t>9:30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none"/>
          <w:lang w:val="en-US" w:eastAsia="zh-CN"/>
        </w:rPr>
        <w:t>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u w:val="none"/>
          <w:lang w:val="en-US" w:eastAsia="zh-CN"/>
        </w:rPr>
        <w:t>2.地点：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重庆机场集团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有限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公司办公楼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（重庆市渝北区机场东二路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19号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对本项目进行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，各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须参加。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注：询价开始前，各询价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人须在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重庆机场集团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有限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公司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办公楼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6009室等候通知具体询价地点。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3.询价响应人若未派法定代表人或委托代理人出席询价唱价会议，视为该询价响应人默认询价唱价结果。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ottom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结果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通知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：待结果确定后及时通知，原则上只通知被选中的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对未被选中的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28"/>
          <w:szCs w:val="28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不通知、不解释。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firstLine="551" w:firstLineChars="196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十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firstLine="539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：重庆机场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空港服务有限责任公司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firstLine="539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周老师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电话：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023-67152738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机场宾馆粮油、干副、调料产品目录表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食用油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（油为非转基因）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tbl>
      <w:tblPr>
        <w:tblStyle w:val="12"/>
        <w:tblW w:w="8858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628"/>
        <w:gridCol w:w="1276"/>
        <w:gridCol w:w="41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品名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规格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品牌要求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大豆油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20升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桶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红蜻蜓、金龙鱼、长寿花、鲁花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一级菜籽油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桶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红蜻蜓、金龙鱼、长寿花、鲁花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菜籽油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20升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桶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红蜻蜓、金龙鱼、长寿花、鲁花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芝麻油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400毫升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瓶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金龙鱼、鲁花、福临门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大米：</w:t>
      </w:r>
    </w:p>
    <w:tbl>
      <w:tblPr>
        <w:tblStyle w:val="12"/>
        <w:tblW w:w="8931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1418"/>
        <w:gridCol w:w="1701"/>
        <w:gridCol w:w="1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规格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圆粒米、长粒米、稻花香、五常大米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1*25kg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供货商须提供试用商品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圆粒米、长粒米、稻花香、五常大米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1*5kg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袋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干副、调料：</w:t>
      </w:r>
    </w:p>
    <w:tbl>
      <w:tblPr>
        <w:tblStyle w:val="12"/>
        <w:tblpPr w:leftFromText="180" w:rightFromText="180" w:vertAnchor="text" w:horzAnchor="page" w:tblpX="1507" w:tblpY="677"/>
        <w:tblOverlap w:val="never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品名规格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绍兴花雕酒-白塔花雕酒（精致瓶装）500ml*12瓶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酸辣粉（原味原色红苕粉）48斤*1件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进口糯米粉-三象糯米粉 500g*20包/箱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安琪百钻泡打粉（无铝型）1kg*袋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洗姜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小吃-晨盟酒鬼蚕豆480g*50包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val="en-US" w:eastAsia="zh-CN"/>
              </w:rPr>
              <w:t>/件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果味粉-酸梅粉1kg*1包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散装玉米渣（玉米碎）500g*1斤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全宗生粉约50斤/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花生米 25斤/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酒鬼花生70克*60包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新繁鱼酸菜-新繁宴侑泡菜400g*40包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李锦记京氏甜酱170g*20瓶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辣椒面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李锦记蒸鱼豉油1.9L*6桶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李锦记香辣酱205g*12瓶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鸣凤春小磨芝麻油 500ml*15瓶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凉菜小木耳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老干妈水豆豉 210g*24瓶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家乐烧汁-和味烧汁 2.5L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家乐辣鲜露（大瓶装）930g*6瓶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家乐黑胡椒汁2.3kg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冰糖-单晶冰糖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保鲜蒜大蒜/去皮大蒜10斤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去皮白芝麻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白味榨菜丝 约19斤/箱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安琪酵母（白色包装）500g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白菊面粉（低筋）50斤*1袋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白胡椒粉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斧头食粉（小苏打腌牛肉洗肠去味去油污）445g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东古一品鲜 500ml*12瓶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大木耳 约10斤*整袋装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老红糖-老砖红糖（整块/熬米酒汤圆用）约65斤/件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海天生抽 生抽豉油皇1.9L*6瓶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海天老抽 草菇老抽1.9L*6瓶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红苕粉1袋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黄豆 约95斤*1袋（整袋装）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干面条（鸡蛋面）2斤*12把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干灯笼椒50斤*1袋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沈师傅鸡蛋干150g*50包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王守义十三香45g*10条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上海澄面-小麦淀粉（用于勾芡或水晶虾饺皮）450g*20包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青花椒面-花椒粉红花椒面500g*1斤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上海梅林午餐肉 340g*24听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紫菜12个*1提（1件=4提）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银耳-大银耳（大块银耳） 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蛋糕油纸/吸油纸 500张/包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五香孜然粉/五香孜然面500g*1斤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特级青花椒500g*1斤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塔塔粉-复配糕点酸度调节剂 1kg/听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特级红花椒500g*1斤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太太乐味精鲜味宝500g*20袋/件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王中王豆皮 约21斤/箱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熊猫炼乳350g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莲蓉馅5kg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香料-枸杞500g*1斤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满意多猪油 25L/约45斤*1桶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香料-香叶500g*1斤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香料-三奈500g*1斤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香料-沙仁500g*1斤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鸣凤春芝麻酱 250g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南方黑芝麻糊 600g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香料-薏仁（苡仁）500g*1斤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新一代干辣椒（整袋售 ）约25斤*1袋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皇室麦片 1.5kg*10包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神象面粉50斤*1袋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香料-八角（又称大茴香）500g*1斤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香料-白扣500g*1斤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香料-白芷500g*1斤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香料-黄栀子（调色用）500g*1斤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香料-罗汉果500g*1斤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香料-茴香（小茴香）500g*1斤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香料-草果500g*1斤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香料-陈皮500g*1斤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香料-党参500g*1斤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香料-当归500g*1斤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香料-丁香500g*1斤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香料-甘草500g*1斤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香料-桂皮（又称大料）500g*1斤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龙口粉丝180g*60袋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香料-山楂500g*1斤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江津老白干 洪海酒440ml*12瓶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保宁醋一保430ml*20瓶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国泰味精 454g*22袋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允丰黄酒 500ml*20瓶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佳仙鸡精 454g*20包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老干妈豆豉280g*24瓶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李锦记蚝油 财神蚝油 907g*12瓶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上海白醋500ml*12瓶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盐巴 加碘盐 400*50袋/箱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焦大哥宜宾芽菜100g*100包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九斗碗花椒油（特麻花椒油）250g*12瓶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A美极鲜味汁-雀巢美极鲜800ml*6瓶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淘大黄豆酱油550ml*24瓶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郫县豆瓣10kg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糯米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琦珠汤圆粉900g*20包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海天鲜味生抽4.9L*2桶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黑米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食用小苏打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顶好芝麻酱405g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顶好花生酱405g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江津米花糖600g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古约龙山花雕酒600ml*12瓶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幺麻子藤椒油500ml*10瓶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家乐鹰粟粉1kg*12包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幺麻子花椒油380ml*12瓶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保宁醋二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级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430ml*20瓶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大白碗豆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和田大枣子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农家鸡汁1kg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赖汤圆芯子340g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黄花园酱油500ml*12瓶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窝窝醪糟400g*12瓶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正义猪油30斤*桶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紫云英蜂蜜500g*20瓶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宁波汤圆粉750g*20包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火锅豆瓣12kg*1桶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永川豆鼓20斤*袋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白油豆腐乳360g*30瓶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小枣子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黄金糕500g*24袋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外祖母永川甜面酱400g*20瓶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正宗红苕粉1袋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正宗老坛子鱼酸菜400g*30袋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干海带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宜宾碎米芽菜230g*60包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孜然30g*袋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雀巢炼乳350g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番茄沙司250g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</w:tr>
    </w:tbl>
    <w:p>
      <w:pPr>
        <w:tabs>
          <w:tab w:val="left" w:pos="3126"/>
        </w:tabs>
        <w:snapToGrid w:val="0"/>
        <w:spacing w:line="360" w:lineRule="auto"/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商品质量要求：有三期、厂名、厂址，无杂质，无超样添加剂，味正宗，成色好，符合食品卫生标准等。</w:t>
      </w:r>
    </w:p>
    <w:p>
      <w:pPr>
        <w:rPr>
          <w:rFonts w:hint="eastAsia"/>
          <w:color w:val="auto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eastAsia="zh-CN"/>
        </w:rPr>
        <w:t>机场宾馆粮油、干副、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调料供货合同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  <w:t>甲方（需方）：重庆机场空港服务有限责任公司      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  <w:t>住所地：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  <w:t>法定代表人：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  <w:t>联系电话：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  <w:t>乙方（供货商）：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  <w:t>法定代表人：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0"/>
          <w:szCs w:val="30"/>
        </w:rPr>
        <w:t>联系电话：</w:t>
      </w:r>
    </w:p>
    <w:p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为了保护供需双方的合法权益，并让甲方用上安全卫生的放心调料，确保消费者的身心健康，经甲、乙双方共同协商后，特签定供货合同如下：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1、乙方必须向甲方提供乙方的营业执照复印件、卫生许可证复印件以及公司经营负责人身份证复印件（供甲方备案）。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2、乙方必须按甲方指定的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货品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品名、规格、数量等要求及时进行供货并将货品送至甲方指定地点。乙方供货不符合要求的，甲方有权立即退货，并且甲方有权单方解除本合同。</w:t>
      </w: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3、乙方所供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货品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的卫生、质量及包装等必须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符合《食品安全法》、《食品生产通用卫生规范》等法律法规要求，不得有掺假、变质、变味、过期等现象出现，严禁供应伪劣、假冒、无证不合格物品。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乙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方在供货过程中，如果发生所售商品出现质量问题或造成食物中毒,如产品变质等情况，经查实后确属供方责任，供方应承担全部责任，主要包括食物中毒人员医疗费、误工费、事故处理费等。</w:t>
      </w: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4、乙方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需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向甲方提供甲方所需要的有关食品资料：食品生产厂家的营业执照复印件、卫生许可证复印件以及食品检测报告等。</w:t>
      </w: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5、乙方向甲方供应的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货品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价格按照批发价或优惠价确定。乙方如根据市场变化调整价格，必须事先通知甲方；如乙方价格高于市场其他商户同类同质的物品价格，则甲方有权按市场最低价付款；乙方不得随意提价或以次充好，如有此种行为，甲方有权终止本协议。</w:t>
      </w: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、验收：货到后由甲乙双方检查食品质量、保质期及清点数量，准确无误后在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物品销售清单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中签字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确认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，并作为结算依据。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、付款方式：甲方按月以转帐方式支付，以甲方实际购买的种类及数量据实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结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算。乙方必须提供详细的物品销售清单与甲方的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商品入库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单核对，甲方核对无误并签章确认后，由乙方开据增值税专用发票并送至甲方，甲方才予以付款。如乙方未能提供物品销售清单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增值税专用发票的，甲方有权拒绝付款，且不承担逾期付款的违约责任。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乙方收款账户为： 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开户行：</w:t>
      </w:r>
    </w:p>
    <w:p>
      <w:pPr>
        <w:snapToGrid w:val="0"/>
        <w:spacing w:line="360" w:lineRule="auto"/>
        <w:ind w:firstLine="0" w:firstLineChars="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帐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号：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、如乙方提供的货物存在质量问题，甲方有权拒绝付款，并且有权单方解除本合同。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9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、乙方每次供货，应在收到甲方通知后【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】日内运货至甲方指定地点，否则视为逾期交货，每逾期一日，甲方有权向乙方收取违约金货款的【20%】，逾期达【3】次的，甲方有权单方解除本合同。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  <w:lang w:val="en-US" w:eastAsia="zh-CN"/>
        </w:rPr>
        <w:t>10、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</w:rPr>
        <w:t>乙方不是甲方唯一的供货商，甲方有权根据自己需要向其他供货商采购产品，乙方不得提出异议。</w:t>
      </w:r>
    </w:p>
    <w:p>
      <w:pPr>
        <w:numPr>
          <w:ilvl w:val="-1"/>
          <w:numId w:val="0"/>
        </w:num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11、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本协议一式贰份，甲乙双方各持壹份，双方签字盖章有效。合同有效期自      年       月     日起至      年    月     日止。其中一方如需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提前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终止本协议，需提前30天书面告知对方。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12、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遇不可抗力因素及甲方发生经营变化，甲方有权解除合同，不承担任何违约责任。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、其他未尽事宜由双方协商解决，协商不成诉至渝北区人民法院解决。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、通知条款</w:t>
      </w:r>
    </w:p>
    <w:p>
      <w:pPr>
        <w:snapToGri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任何一方均应本着诚实信用原则来对待另一方在履行合同时的通知、告知事项，如因重大事项须履行通知义务的，均应当以当面签收或特快专递方式送达相对人。</w:t>
      </w: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采用特快专递形式的，应按照双方在合同中确定的通讯地址以特快专递的形式通知相对人，一旦特快专递送达上述地址且经该方签收的，即视为有效送达收件人。</w:t>
      </w: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收件一方若认为邮件封面标题与邮件中实际文件内容不符的，应在收到邮件后三日内通知相对人，逾期视为邮件封面标题与邮件中实际文件内容一致，并视为有效送达收件人。</w:t>
      </w:r>
    </w:p>
    <w:p>
      <w:pPr>
        <w:snapToGrid w:val="0"/>
        <w:spacing w:line="360" w:lineRule="auto"/>
        <w:ind w:firstLine="562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因受送达人在合同中提供或者确认的送达地址不准确、送达地址变更未及时告知、以及受送达人本人或者受送达人指定的代收人拒绝签收，导致送达文件中的通知、告知事项未能被受送达人实际接收的，文书退回之日视为送达之日。  </w:t>
      </w:r>
    </w:p>
    <w:p>
      <w:pPr>
        <w:snapToGrid w:val="0"/>
        <w:spacing w:line="360" w:lineRule="auto"/>
        <w:ind w:left="5880" w:hanging="6300" w:hangingChars="2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>
      <w:pPr>
        <w:snapToGrid w:val="0"/>
        <w:spacing w:line="360" w:lineRule="auto"/>
        <w:ind w:left="5880" w:hanging="6300" w:hangingChars="2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甲方（签字盖章）：重庆机场空港服务    乙方（签字盖章）：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有限责任公司                         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法定代表或代理人签名：                         法定代表或代理人签名：  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电话：                                             电话：                       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地址：                                                     地址：</w:t>
      </w:r>
    </w:p>
    <w:p>
      <w:pPr>
        <w:pStyle w:val="2"/>
        <w:rPr>
          <w:rFonts w:hint="eastAsia"/>
          <w:color w:val="auto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：</w:t>
      </w:r>
    </w:p>
    <w:p>
      <w:pPr>
        <w:pStyle w:val="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sz w:val="30"/>
          <w:szCs w:val="30"/>
          <w:lang w:eastAsia="zh-CN"/>
        </w:rPr>
        <w:t>承诺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0"/>
          <w:szCs w:val="30"/>
        </w:rPr>
        <w:t>函</w:t>
      </w:r>
    </w:p>
    <w:p>
      <w:pPr>
        <w:pStyle w:val="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sz w:val="30"/>
          <w:szCs w:val="30"/>
        </w:rPr>
        <w:t>重庆机场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0"/>
          <w:szCs w:val="30"/>
          <w:lang w:eastAsia="zh-CN"/>
        </w:rPr>
        <w:t>空港服务有限责任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0"/>
          <w:szCs w:val="30"/>
        </w:rPr>
        <w:t>公司</w:t>
      </w:r>
      <w:r>
        <w:rPr>
          <w:rFonts w:hint="eastAsia" w:ascii="方正仿宋_GBK" w:hAnsi="方正仿宋_GBK" w:eastAsia="方正仿宋_GBK" w:cs="方正仿宋_GBK"/>
          <w:b w:val="0"/>
          <w:snapToGrid/>
          <w:color w:val="auto"/>
          <w:kern w:val="2"/>
          <w:sz w:val="30"/>
          <w:szCs w:val="30"/>
        </w:rPr>
        <w:t>：</w:t>
      </w:r>
    </w:p>
    <w:p>
      <w:pPr>
        <w:keepLines w:val="0"/>
        <w:pageBreakBefore w:val="0"/>
        <w:widowControl w:val="0"/>
        <w:numPr>
          <w:ilvl w:val="0"/>
          <w:numId w:val="2"/>
        </w:num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line="520" w:lineRule="exact"/>
        <w:ind w:left="0" w:leftChars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我方已仔细研究了</w:t>
      </w:r>
      <w:r>
        <w:rPr>
          <w:rFonts w:hint="eastAsia" w:ascii="方正仿宋_GBK" w:hAnsi="方正仿宋_GBK" w:eastAsia="方正仿宋_GBK" w:cs="方正仿宋_GBK"/>
          <w:snapToGrid/>
          <w:color w:val="auto"/>
          <w:w w:val="100"/>
          <w:kern w:val="2"/>
          <w:sz w:val="30"/>
          <w:szCs w:val="30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u w:val="none"/>
        </w:rPr>
        <w:tab/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u w:val="none"/>
        </w:rPr>
        <w:tab/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（项目名称）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文件的全部内容，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同意并接受询价文件中的所有要求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。</w:t>
      </w:r>
    </w:p>
    <w:p>
      <w:pPr>
        <w:keepLines w:val="0"/>
        <w:pageBreakBefore w:val="0"/>
        <w:widowControl w:val="0"/>
        <w:numPr>
          <w:ilvl w:val="-1"/>
          <w:numId w:val="0"/>
        </w:num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line="520" w:lineRule="exact"/>
        <w:ind w:left="0" w:leftChars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2．我方承诺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有效期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90天，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在有效期内不修改、撤销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响应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文件。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leftChars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3．如我方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中选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：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（1）我方承诺在收到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成交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通知书后，在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成交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通知书规定的期限内与你方签订合同。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）我方承诺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对合同不作原则上的改动并签订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）我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将严格遵守《中华人民共和国食品安全法》《餐饮业和集体用餐配送单位卫生规范》等相关法律法规的规定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94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将依法承担相应的产品质量责任，主动接受政府职能部门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和采购人监督和检查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，认真强化和落实食品安全第一责任人的规定，加强食品安全管理。若因我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配送的商品造成食物中毒、食用致病等恶性事件，我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一定承担由此产生的相应责任和费用。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94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一定按约定的品种、规格、数量、时间等要求送货，并提供发票、收据。保证所供物品符合国家相关法律法规的要求和行业标准，质量优良、安全卫生，无毒害、无霉变、无污染、不过期，并按要求出示提供每批商品的检验合格证书；否则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可拒绝接货，由此造成的后果由我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承担，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不承担我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任何经济损失。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94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保证建立食品及原料采购索证和验收制度；保证从食品原料采购、食品加工销售，实施有效的全过程质量管理；保证所采购的食品及其原料索取发票，有效证件与记录相一致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94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保证不使用不符合国家《食品添加剂使用卫生标准》以及未列入国家新增品种公告目录的食品添加剂；不采购使用无卫生许可证的食品添加剂；不超范围、不超剂量滥用食品添加剂。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94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 xml:space="preserve"> 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保证不采购使用标签标识不全，以及包装破损或超过保质期的食品和食品添加剂。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94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保证具备标的所需的环境条件、配送条件和相关辅助条件。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94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若配送不合格商品，或配送的食品造成了安全事故，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有权单方面中止与我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达成的购货协议，且不承担由此给我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带来的损失。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leftChars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4．我方在此声明，所递交的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响应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文件及有关资料内容完整、真实和准确。</w:t>
      </w:r>
    </w:p>
    <w:p>
      <w:pPr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leftChars="0" w:right="94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5．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中选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通知书和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lang w:eastAsia="zh-CN"/>
        </w:rPr>
        <w:t>响应文件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将成为约束双方的合同文件组成部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210" w:firstLine="56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询价响应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u w:val="non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 xml:space="preserve">（盖单位公章） </w:t>
      </w:r>
    </w:p>
    <w:p>
      <w:pPr>
        <w:pStyle w:val="2"/>
        <w:rPr>
          <w:rFonts w:hint="eastAsia"/>
          <w:color w:val="auto"/>
        </w:rPr>
      </w:pPr>
    </w:p>
    <w:p>
      <w:pPr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210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 xml:space="preserve">（签字） </w:t>
      </w:r>
    </w:p>
    <w:p>
      <w:pPr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210" w:firstLine="60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地址：</w:t>
      </w:r>
      <w:r>
        <w:rPr>
          <w:rFonts w:hint="eastAsia" w:ascii="方正仿宋_GBK" w:hAnsi="方正仿宋_GBK" w:eastAsia="方正仿宋_GBK" w:cs="方正仿宋_GBK"/>
          <w:snapToGrid/>
          <w:color w:val="auto"/>
          <w:w w:val="100"/>
          <w:kern w:val="2"/>
          <w:sz w:val="30"/>
          <w:szCs w:val="30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  <w:u w:val="none"/>
        </w:rPr>
        <w:tab/>
      </w:r>
    </w:p>
    <w:p>
      <w:pPr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21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电话：</w:t>
      </w:r>
      <w:r>
        <w:rPr>
          <w:rFonts w:hint="eastAsia" w:ascii="方正仿宋_GBK" w:hAnsi="方正仿宋_GBK" w:eastAsia="方正仿宋_GBK" w:cs="方正仿宋_GBK"/>
          <w:snapToGrid/>
          <w:color w:val="auto"/>
          <w:w w:val="100"/>
          <w:kern w:val="2"/>
          <w:sz w:val="30"/>
          <w:szCs w:val="30"/>
          <w:u w:val="none"/>
        </w:rPr>
        <w:t xml:space="preserve"> </w:t>
      </w:r>
    </w:p>
    <w:p>
      <w:pPr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21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0"/>
          <w:szCs w:val="30"/>
        </w:rPr>
        <w:t>传真：</w:t>
      </w:r>
      <w:r>
        <w:rPr>
          <w:rFonts w:hint="eastAsia" w:ascii="方正仿宋_GBK" w:hAnsi="方正仿宋_GBK" w:eastAsia="方正仿宋_GBK" w:cs="方正仿宋_GBK"/>
          <w:snapToGrid/>
          <w:color w:val="auto"/>
          <w:w w:val="100"/>
          <w:kern w:val="2"/>
          <w:sz w:val="30"/>
          <w:szCs w:val="30"/>
          <w:u w:val="none"/>
        </w:rPr>
        <w:t xml:space="preserve"> </w:t>
      </w:r>
    </w:p>
    <w:p>
      <w:pPr>
        <w:tabs>
          <w:tab w:val="left" w:pos="3126"/>
        </w:tabs>
        <w:snapToGrid w:val="0"/>
        <w:spacing w:line="360" w:lineRule="auto"/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</w:pPr>
    </w:p>
    <w:p>
      <w:pPr>
        <w:pStyle w:val="2"/>
        <w:jc w:val="both"/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snapToGrid w:val="0"/>
        <w:spacing w:line="360" w:lineRule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法定代表人身份证明</w:t>
      </w:r>
    </w:p>
    <w:p>
      <w:pPr>
        <w:rPr>
          <w:rFonts w:ascii="仿宋" w:hAnsi="仿宋" w:eastAsia="仿宋"/>
          <w:color w:val="auto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响应人名称：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单位性质：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地址：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成立时间：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日</w:t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经营期限：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姓名：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性别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龄：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职务：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系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询价响应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人名称）的法定代表人。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1080" w:firstLineChars="3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3360" w:firstLineChars="1200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询价响应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盖单位公章）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firstLine="4448" w:firstLineChars="1600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日</w:t>
      </w:r>
    </w:p>
    <w:p>
      <w:pPr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</w:rPr>
        <w:t>附法定代表人身份证复印件</w:t>
      </w:r>
    </w:p>
    <w:p>
      <w:pPr>
        <w:snapToGrid w:val="0"/>
        <w:spacing w:line="360" w:lineRule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pStyle w:val="2"/>
        <w:jc w:val="both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napToGrid w:val="0"/>
        <w:spacing w:line="360" w:lineRule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附件3：</w:t>
      </w:r>
    </w:p>
    <w:p>
      <w:pPr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法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定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代表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授权书</w:t>
      </w:r>
    </w:p>
    <w:p>
      <w:pPr>
        <w:ind w:right="-69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本授权书申明</w:t>
      </w:r>
      <w:r>
        <w:rPr>
          <w:rFonts w:ascii="仿宋" w:hAnsi="仿宋" w:eastAsia="仿宋"/>
          <w:color w:val="auto"/>
          <w:sz w:val="28"/>
          <w:szCs w:val="28"/>
        </w:rPr>
        <w:t>___________________________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（公司注册地点）</w:t>
      </w:r>
      <w:r>
        <w:rPr>
          <w:rFonts w:ascii="仿宋" w:hAnsi="仿宋" w:eastAsia="仿宋"/>
          <w:color w:val="auto"/>
          <w:sz w:val="28"/>
          <w:szCs w:val="28"/>
        </w:rPr>
        <w:t>______________(</w:t>
      </w:r>
      <w:r>
        <w:rPr>
          <w:rFonts w:hint="eastAsia" w:ascii="仿宋" w:hAnsi="仿宋" w:eastAsia="仿宋"/>
          <w:color w:val="auto"/>
          <w:sz w:val="28"/>
          <w:szCs w:val="28"/>
        </w:rPr>
        <w:t>公司名称</w:t>
      </w:r>
      <w:r>
        <w:rPr>
          <w:rFonts w:ascii="仿宋" w:hAnsi="仿宋" w:eastAsia="仿宋"/>
          <w:color w:val="auto"/>
          <w:sz w:val="28"/>
          <w:szCs w:val="28"/>
        </w:rPr>
        <w:t>)__________(</w:t>
      </w:r>
      <w:r>
        <w:rPr>
          <w:rFonts w:hint="eastAsia" w:ascii="仿宋" w:hAnsi="仿宋" w:eastAsia="仿宋"/>
          <w:color w:val="auto"/>
          <w:sz w:val="28"/>
          <w:szCs w:val="28"/>
        </w:rPr>
        <w:t>职务</w:t>
      </w:r>
      <w:r>
        <w:rPr>
          <w:rFonts w:ascii="仿宋" w:hAnsi="仿宋" w:eastAsia="仿宋"/>
          <w:color w:val="auto"/>
          <w:sz w:val="28"/>
          <w:szCs w:val="28"/>
        </w:rPr>
        <w:t>)________(</w:t>
      </w:r>
      <w:r>
        <w:rPr>
          <w:rFonts w:hint="eastAsia" w:ascii="仿宋" w:hAnsi="仿宋" w:eastAsia="仿宋"/>
          <w:color w:val="auto"/>
          <w:sz w:val="28"/>
          <w:szCs w:val="28"/>
        </w:rPr>
        <w:t>法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定</w:t>
      </w:r>
      <w:r>
        <w:rPr>
          <w:rFonts w:hint="eastAsia" w:ascii="仿宋" w:hAnsi="仿宋" w:eastAsia="仿宋"/>
          <w:color w:val="auto"/>
          <w:sz w:val="28"/>
          <w:szCs w:val="28"/>
        </w:rPr>
        <w:t>代表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人</w:t>
      </w:r>
      <w:r>
        <w:rPr>
          <w:rFonts w:ascii="仿宋" w:hAnsi="仿宋" w:eastAsia="仿宋"/>
          <w:color w:val="auto"/>
          <w:sz w:val="28"/>
          <w:szCs w:val="28"/>
        </w:rPr>
        <w:t>)</w:t>
      </w:r>
      <w:r>
        <w:rPr>
          <w:rFonts w:hint="eastAsia" w:ascii="仿宋" w:hAnsi="仿宋" w:eastAsia="仿宋"/>
          <w:color w:val="auto"/>
          <w:sz w:val="28"/>
          <w:szCs w:val="28"/>
        </w:rPr>
        <w:t>经合法授权，特代表本公司</w:t>
      </w:r>
      <w:r>
        <w:rPr>
          <w:rFonts w:ascii="仿宋" w:hAnsi="仿宋" w:eastAsia="仿宋"/>
          <w:color w:val="auto"/>
          <w:sz w:val="28"/>
          <w:szCs w:val="28"/>
        </w:rPr>
        <w:t>_________________(</w:t>
      </w:r>
      <w:r>
        <w:rPr>
          <w:rFonts w:hint="eastAsia" w:ascii="仿宋" w:hAnsi="仿宋" w:eastAsia="仿宋"/>
          <w:color w:val="auto"/>
          <w:sz w:val="28"/>
          <w:szCs w:val="28"/>
        </w:rPr>
        <w:t>公司名称</w:t>
      </w:r>
      <w:r>
        <w:rPr>
          <w:rFonts w:ascii="仿宋" w:hAnsi="仿宋" w:eastAsia="仿宋"/>
          <w:color w:val="auto"/>
          <w:sz w:val="28"/>
          <w:szCs w:val="28"/>
        </w:rPr>
        <w:t>)__________(</w:t>
      </w:r>
      <w:r>
        <w:rPr>
          <w:rFonts w:hint="eastAsia" w:ascii="仿宋" w:hAnsi="仿宋" w:eastAsia="仿宋"/>
          <w:color w:val="auto"/>
          <w:sz w:val="28"/>
          <w:szCs w:val="28"/>
        </w:rPr>
        <w:t>职务</w:t>
      </w:r>
      <w:r>
        <w:rPr>
          <w:rFonts w:ascii="仿宋" w:hAnsi="仿宋" w:eastAsia="仿宋"/>
          <w:color w:val="auto"/>
          <w:sz w:val="28"/>
          <w:szCs w:val="28"/>
        </w:rPr>
        <w:t>)________(</w:t>
      </w:r>
      <w:r>
        <w:rPr>
          <w:rFonts w:hint="eastAsia" w:ascii="仿宋" w:hAnsi="仿宋" w:eastAsia="仿宋"/>
          <w:color w:val="auto"/>
          <w:sz w:val="28"/>
          <w:szCs w:val="28"/>
        </w:rPr>
        <w:t>姓名</w:t>
      </w:r>
      <w:r>
        <w:rPr>
          <w:rFonts w:ascii="仿宋" w:hAnsi="仿宋" w:eastAsia="仿宋"/>
          <w:color w:val="auto"/>
          <w:sz w:val="28"/>
          <w:szCs w:val="28"/>
        </w:rPr>
        <w:t>)</w:t>
      </w:r>
      <w:r>
        <w:rPr>
          <w:rFonts w:hint="eastAsia" w:ascii="仿宋" w:hAnsi="仿宋" w:eastAsia="仿宋"/>
          <w:color w:val="auto"/>
          <w:sz w:val="28"/>
          <w:szCs w:val="28"/>
        </w:rPr>
        <w:t>为正式的合法代理人，并授权该代理人在项目的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auto"/>
          <w:sz w:val="28"/>
          <w:szCs w:val="28"/>
        </w:rPr>
        <w:t>活动中，以我单位的名义签署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auto"/>
          <w:sz w:val="28"/>
          <w:szCs w:val="28"/>
        </w:rPr>
        <w:t>响应文件，与业主协商、签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订</w:t>
      </w:r>
      <w:r>
        <w:rPr>
          <w:rFonts w:hint="eastAsia" w:ascii="仿宋" w:hAnsi="仿宋" w:eastAsia="仿宋"/>
          <w:color w:val="auto"/>
          <w:sz w:val="28"/>
          <w:szCs w:val="28"/>
        </w:rPr>
        <w:t>合同协议书以及执行一切与此有关的事务。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auto"/>
          <w:sz w:val="28"/>
          <w:szCs w:val="28"/>
        </w:rPr>
        <w:t>响应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（盖章）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授权人：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被授权人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或</w:t>
      </w:r>
      <w:r>
        <w:rPr>
          <w:rFonts w:hint="eastAsia" w:ascii="仿宋" w:hAnsi="仿宋" w:eastAsia="仿宋"/>
          <w:color w:val="auto"/>
          <w:sz w:val="28"/>
          <w:szCs w:val="28"/>
        </w:rPr>
        <w:t>代理人：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spacing w:line="480" w:lineRule="auto"/>
        <w:rPr>
          <w:rFonts w:ascii="仿宋" w:hAnsi="仿宋" w:eastAsia="仿宋"/>
          <w:color w:val="auto"/>
        </w:rPr>
      </w:pPr>
    </w:p>
    <w:p>
      <w:pPr>
        <w:snapToGrid w:val="0"/>
        <w:spacing w:line="360" w:lineRule="auto"/>
        <w:rPr>
          <w:rFonts w:hint="eastAsia" w:eastAsia="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附被授权人代理人身份证复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印件</w:t>
      </w:r>
    </w:p>
    <w:p>
      <w:pPr>
        <w:jc w:val="both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 xml:space="preserve">4        </w:t>
      </w:r>
    </w:p>
    <w:p>
      <w:pPr>
        <w:jc w:val="center"/>
        <w:rPr>
          <w:rFonts w:hint="eastAsia" w:eastAsia="仿宋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机场宾馆粮油、干副、调料报价表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食用油：</w:t>
      </w:r>
    </w:p>
    <w:tbl>
      <w:tblPr>
        <w:tblStyle w:val="12"/>
        <w:tblpPr w:leftFromText="180" w:rightFromText="180" w:vertAnchor="text" w:horzAnchor="page" w:tblpXSpec="center" w:tblpY="66"/>
        <w:tblOverlap w:val="never"/>
        <w:tblW w:w="1023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5"/>
        <w:gridCol w:w="1170"/>
        <w:gridCol w:w="825"/>
        <w:gridCol w:w="4080"/>
        <w:gridCol w:w="1485"/>
        <w:gridCol w:w="10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品牌要求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含税报价（元）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税率（%）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大豆油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20升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桶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红蜻蜓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金龙鱼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长寿花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鲁花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一级菜籽油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5升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桶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红蜻蜓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金龙鱼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长寿花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鲁花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菜籽油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20升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桶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红蜻蜓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金龙鱼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长寿花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鲁花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芝麻油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400毫升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金龙鱼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鲁花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福临门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left" w:pos="2862"/>
        </w:tabs>
        <w:jc w:val="left"/>
        <w:rPr>
          <w:rFonts w:hint="eastAsia" w:eastAsia="仿宋"/>
          <w:color w:val="auto"/>
          <w:lang w:val="en-US" w:eastAsia="zh-CN"/>
        </w:rPr>
      </w:pPr>
    </w:p>
    <w:p>
      <w:pPr>
        <w:pStyle w:val="2"/>
        <w:jc w:val="both"/>
        <w:rPr>
          <w:rFonts w:hint="eastAsia" w:eastAsia="仿宋"/>
          <w:color w:val="auto"/>
          <w:lang w:val="en-US" w:eastAsia="zh-CN"/>
        </w:rPr>
      </w:pPr>
    </w:p>
    <w:p>
      <w:pPr>
        <w:rPr>
          <w:rFonts w:hint="eastAsia" w:eastAsia="仿宋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大米：</w:t>
      </w:r>
    </w:p>
    <w:tbl>
      <w:tblPr>
        <w:tblStyle w:val="12"/>
        <w:tblpPr w:leftFromText="180" w:rightFromText="180" w:vertAnchor="text" w:horzAnchor="page" w:tblpX="1797" w:tblpY="44"/>
        <w:tblOverlap w:val="never"/>
        <w:tblW w:w="86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335"/>
        <w:gridCol w:w="1170"/>
        <w:gridCol w:w="1361"/>
        <w:gridCol w:w="1077"/>
        <w:gridCol w:w="22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含税报价（元）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税率（%）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圆粒米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25kg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供货商须提供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试用商品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5kg</w:t>
            </w: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长粒米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25kg</w:t>
            </w: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5kg</w:t>
            </w: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稻花香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25kg</w:t>
            </w: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5kg</w:t>
            </w: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五常大米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25kg</w:t>
            </w: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5kg</w:t>
            </w:r>
          </w:p>
        </w:tc>
        <w:tc>
          <w:tcPr>
            <w:tcW w:w="11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干副、调料：</w:t>
      </w:r>
    </w:p>
    <w:tbl>
      <w:tblPr>
        <w:tblStyle w:val="12"/>
        <w:tblW w:w="9264" w:type="dxa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9"/>
        <w:gridCol w:w="4440"/>
        <w:gridCol w:w="945"/>
        <w:gridCol w:w="1725"/>
        <w:gridCol w:w="1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品名规格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含税报价（元）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税率（%）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绍兴花雕酒-白塔花雕酒（精致瓶装）500ml*12瓶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酸辣粉（原味原色红苕粉）48斤*1件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进口糯米粉-三象糯米粉 500g*20包/箱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安琪百钻泡打粉（无铝型）1kg*袋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洗姜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小吃-晨盟酒鬼蚕豆480g*50包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val="en-US" w:eastAsia="zh-CN"/>
              </w:rPr>
              <w:t>/件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果味粉-酸梅粉1kg*1包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散装玉米渣（玉米碎）500g*1斤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全宗生粉约50斤/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花生米 25斤/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酒鬼花生70克*60包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新繁鱼酸菜-新繁宴侑泡菜400g*40包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李锦记京氏甜酱170g*20瓶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辣椒面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李锦记蒸鱼豉油1.9L*6桶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李锦记香辣酱205g*12瓶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鸣凤春小磨芝麻油 500ml*15瓶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凉菜小木耳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老干妈水豆豉 210g*24瓶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家乐烧汁-和味烧汁 2.5L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家乐辣鲜露（大瓶装）930g*6瓶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家乐黑胡椒汁2.3kg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highlight w:val="none"/>
              </w:rPr>
              <w:t>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冰糖-单晶冰糖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保鲜蒜大蒜/去皮大蒜10斤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去皮白芝麻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白味榨菜丝 约19斤/箱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安琪酵母（白色包装）500g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白菊面粉（低筋）50斤*1袋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白胡椒粉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斧头食粉（小苏打腌牛肉洗肠去味去油污）445g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盒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东古一品鲜 500ml*12瓶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大木耳 约10斤*整袋装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老红糖-老砖红糖（整块/熬米酒汤圆用）约65斤/件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海天生抽 生抽豉油皇1.9L*6瓶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海天老抽 草菇老抽1.9L*6瓶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红苕粉1袋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黄豆 约95斤*1袋（整袋装）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干面条（鸡蛋面）2斤*12把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干灯笼椒50斤*1袋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沈师傅鸡蛋干150g*50包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王守义十三香45g*10条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盒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上海澄面-小麦淀粉（用于勾芡或水晶虾饺皮）450g*20包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青花椒面-花椒粉红花椒面500g*1斤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上海梅林午餐肉 340g*24听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紫菜12个*1提（1件=4提）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银耳-大银耳（大块银耳） 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蛋糕油纸/吸油纸 500张/包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五香孜然粉/五香孜然面500g*1斤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特级青花椒500g*1斤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塔塔粉-复配糕点酸度调节剂 1kg/听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听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特级红花椒500g*1斤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太太乐味精鲜味宝500g*20袋/件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王中王豆皮 约21斤/箱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熊猫炼乳350g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听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莲蓉馅5kg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香料-枸杞500g*1斤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满意多猪油 25L/约45斤*1桶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香料-香叶500g*1斤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香料-三奈500g*1斤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香料-沙仁500g*1斤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鸣凤春芝麻酱 250g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南方黑芝麻糊 600g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香料-薏仁（苡仁）500g*1斤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新一代干辣椒（整袋售 ）约25斤*1袋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皇室麦片 1.5kg*10包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神象面粉50斤*1袋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香料-八角（又称大茴香）500g*1斤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香料-白扣500g*1斤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香料-白芷500g*1斤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香料-黄栀子（调色用）500g*1斤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香料-罗汉果500g*1斤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香料-茴香（小茴香）500g*1斤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香料-草果500g*1斤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香料-陈皮500g*1斤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香料-党参500g*1斤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香料-当归500g*1斤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香料-丁香500g*1斤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香料-甘草500g*1斤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香料-桂皮（又称大料）500g*1斤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龙口粉丝180g*60袋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香料-山楂500g*1斤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江津老白干 洪海酒440ml*12瓶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保宁醋一保430ml*20瓶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国泰味精 454g*22袋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允丰黄酒 500ml*20瓶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佳仙鸡精 454g*20包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老干妈豆豉280g*24瓶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李锦记蚝油 财神蚝油 907g*12瓶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上海白醋500ml*12瓶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盐巴 加碘盐 400*50袋/箱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焦大哥宜宾芽菜100g*100包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九斗碗花椒油（特麻花椒油）250g*12瓶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A美极鲜味汁-雀巢美极鲜800ml*6瓶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淘大黄豆酱油550ml*24瓶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郫县豆瓣10kg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糯米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琦珠汤圆粉900g*20包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海天鲜味生抽4.9L*2桶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黑米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食用小苏打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顶好芝麻酱405g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顶好花生酱405g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江津米花糖600g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古约龙山花雕酒600ml*12瓶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幺麻子藤椒油500ml*10瓶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家乐鹰粟粉1kg*12包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幺麻子花椒油380ml*12瓶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保宁醋二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级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430ml*20瓶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大白碗豆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和田大枣子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农家鸡汁1kg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赖汤圆芯子340g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黄花园酱油500ml*12瓶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窝窝醪糟400g*12瓶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正义猪油30斤*桶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紫云英蜂蜜500g*20瓶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宁波汤圆粉750g*20包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火锅豆瓣12kg*1桶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永川豆鼓20斤*袋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白油豆腐乳360g*30瓶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小枣子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黄金糕500g*24袋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外祖母永川甜面酱400g*20瓶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正宗红苕粉1袋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正宗老坛子鱼酸菜400g*30袋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干海带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斤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宜宾碎米芽菜230g*60包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孜然30g*袋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雀巢炼乳350g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听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番茄沙司250g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</w:tbl>
    <w:p>
      <w:pPr>
        <w:ind w:firstLine="0" w:firstLineChars="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62" w:firstLineChars="200"/>
        <w:jc w:val="left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提供</w:t>
      </w:r>
    </w:p>
    <w:p>
      <w:pPr>
        <w:pStyle w:val="2"/>
        <w:rPr>
          <w:rFonts w:hint="eastAsia"/>
          <w:lang w:eastAsia="zh-CN"/>
        </w:rPr>
      </w:pPr>
    </w:p>
    <w:p>
      <w:pPr>
        <w:snapToGrid w:val="0"/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营业执照复印件加盖鲜章。</w:t>
      </w:r>
    </w:p>
    <w:p>
      <w:pPr>
        <w:snapToGrid w:val="0"/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食品流通许可证或食品经营许可证复印件。</w:t>
      </w:r>
    </w:p>
    <w:p>
      <w:pPr>
        <w:snapToGrid w:val="0"/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3.自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 w:bidi="ar-SA"/>
        </w:rPr>
        <w:t>2018年1月1日至今至少提供三个类似本项目的供应业绩证明（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以合同复印件为准，原合同备查）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方正仿宋_GBK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4.未被“信用中国”网站（www.creditchina.gov.cn）列为失信被执行人（提供相关查询截图并加盖鲜章）。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1239"/>
    <w:multiLevelType w:val="singleLevel"/>
    <w:tmpl w:val="3CD31239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EC524F8"/>
    <w:multiLevelType w:val="singleLevel"/>
    <w:tmpl w:val="7EC524F8"/>
    <w:lvl w:ilvl="0" w:tentative="0">
      <w:start w:val="1"/>
      <w:numFmt w:val="upperLetter"/>
      <w:pStyle w:val="3"/>
      <w:lvlText w:val="%1、"/>
      <w:lvlJc w:val="left"/>
      <w:pPr>
        <w:tabs>
          <w:tab w:val="left" w:pos="4121"/>
        </w:tabs>
        <w:ind w:left="4121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19FA"/>
    <w:rsid w:val="0000097F"/>
    <w:rsid w:val="00005333"/>
    <w:rsid w:val="00006788"/>
    <w:rsid w:val="00017CC8"/>
    <w:rsid w:val="0002289E"/>
    <w:rsid w:val="00023008"/>
    <w:rsid w:val="00025AEC"/>
    <w:rsid w:val="000265C7"/>
    <w:rsid w:val="00031BB8"/>
    <w:rsid w:val="00032715"/>
    <w:rsid w:val="00035345"/>
    <w:rsid w:val="000371A2"/>
    <w:rsid w:val="00044BB6"/>
    <w:rsid w:val="00050D62"/>
    <w:rsid w:val="0005249A"/>
    <w:rsid w:val="0005588C"/>
    <w:rsid w:val="00056869"/>
    <w:rsid w:val="000611DA"/>
    <w:rsid w:val="000631F6"/>
    <w:rsid w:val="00063CCA"/>
    <w:rsid w:val="00073A28"/>
    <w:rsid w:val="000740F0"/>
    <w:rsid w:val="00076511"/>
    <w:rsid w:val="000825D0"/>
    <w:rsid w:val="00084B6F"/>
    <w:rsid w:val="000A3B23"/>
    <w:rsid w:val="000B4109"/>
    <w:rsid w:val="000B753E"/>
    <w:rsid w:val="000B7659"/>
    <w:rsid w:val="000C02DD"/>
    <w:rsid w:val="000D521A"/>
    <w:rsid w:val="000E2F2F"/>
    <w:rsid w:val="000E5E1E"/>
    <w:rsid w:val="000F3310"/>
    <w:rsid w:val="000F4E07"/>
    <w:rsid w:val="00103882"/>
    <w:rsid w:val="00106E21"/>
    <w:rsid w:val="00126337"/>
    <w:rsid w:val="0013184B"/>
    <w:rsid w:val="00140784"/>
    <w:rsid w:val="00146445"/>
    <w:rsid w:val="001505AE"/>
    <w:rsid w:val="00150869"/>
    <w:rsid w:val="001559E7"/>
    <w:rsid w:val="00163E7C"/>
    <w:rsid w:val="00180D31"/>
    <w:rsid w:val="00181249"/>
    <w:rsid w:val="00182F1E"/>
    <w:rsid w:val="001849E2"/>
    <w:rsid w:val="0018716E"/>
    <w:rsid w:val="0018776C"/>
    <w:rsid w:val="0019019A"/>
    <w:rsid w:val="00192AF6"/>
    <w:rsid w:val="00196FD2"/>
    <w:rsid w:val="001C452E"/>
    <w:rsid w:val="001D0060"/>
    <w:rsid w:val="001E04F7"/>
    <w:rsid w:val="001E0DD3"/>
    <w:rsid w:val="001F2E0C"/>
    <w:rsid w:val="001F52E9"/>
    <w:rsid w:val="00202EEA"/>
    <w:rsid w:val="002111D0"/>
    <w:rsid w:val="002146E5"/>
    <w:rsid w:val="002170C0"/>
    <w:rsid w:val="00223328"/>
    <w:rsid w:val="00224DEB"/>
    <w:rsid w:val="00230435"/>
    <w:rsid w:val="002334E4"/>
    <w:rsid w:val="002362BD"/>
    <w:rsid w:val="002369A5"/>
    <w:rsid w:val="00264544"/>
    <w:rsid w:val="00266533"/>
    <w:rsid w:val="0028006E"/>
    <w:rsid w:val="002834F6"/>
    <w:rsid w:val="00286536"/>
    <w:rsid w:val="00287E0A"/>
    <w:rsid w:val="002B75E8"/>
    <w:rsid w:val="002C46DA"/>
    <w:rsid w:val="002C52F9"/>
    <w:rsid w:val="002D6F8E"/>
    <w:rsid w:val="002E5FDE"/>
    <w:rsid w:val="002F5A5B"/>
    <w:rsid w:val="002F6E00"/>
    <w:rsid w:val="002F7CA1"/>
    <w:rsid w:val="002F7F31"/>
    <w:rsid w:val="00300C2A"/>
    <w:rsid w:val="00306DDC"/>
    <w:rsid w:val="00311324"/>
    <w:rsid w:val="00317034"/>
    <w:rsid w:val="00332BF8"/>
    <w:rsid w:val="00333793"/>
    <w:rsid w:val="00333BD0"/>
    <w:rsid w:val="00340E6F"/>
    <w:rsid w:val="0034710B"/>
    <w:rsid w:val="00347BDE"/>
    <w:rsid w:val="00351066"/>
    <w:rsid w:val="003534A4"/>
    <w:rsid w:val="00357C50"/>
    <w:rsid w:val="00370602"/>
    <w:rsid w:val="003723A5"/>
    <w:rsid w:val="003840CF"/>
    <w:rsid w:val="00391B61"/>
    <w:rsid w:val="00392422"/>
    <w:rsid w:val="0039415B"/>
    <w:rsid w:val="00396376"/>
    <w:rsid w:val="003A2048"/>
    <w:rsid w:val="003A228A"/>
    <w:rsid w:val="003A2974"/>
    <w:rsid w:val="003A4373"/>
    <w:rsid w:val="003B3EA4"/>
    <w:rsid w:val="003B7133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4AC5"/>
    <w:rsid w:val="00425623"/>
    <w:rsid w:val="00425B77"/>
    <w:rsid w:val="0042735B"/>
    <w:rsid w:val="00441244"/>
    <w:rsid w:val="00445377"/>
    <w:rsid w:val="0044582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F2FAB"/>
    <w:rsid w:val="004F307F"/>
    <w:rsid w:val="004F3384"/>
    <w:rsid w:val="004F3F16"/>
    <w:rsid w:val="004F6B0B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C7814"/>
    <w:rsid w:val="005C79AE"/>
    <w:rsid w:val="005E467A"/>
    <w:rsid w:val="005F4A5B"/>
    <w:rsid w:val="006078C9"/>
    <w:rsid w:val="00610FBA"/>
    <w:rsid w:val="00622C32"/>
    <w:rsid w:val="00626931"/>
    <w:rsid w:val="006331B5"/>
    <w:rsid w:val="006448B9"/>
    <w:rsid w:val="00646279"/>
    <w:rsid w:val="0064646F"/>
    <w:rsid w:val="0064740A"/>
    <w:rsid w:val="00653540"/>
    <w:rsid w:val="006603E9"/>
    <w:rsid w:val="0066423D"/>
    <w:rsid w:val="0066539F"/>
    <w:rsid w:val="0066710E"/>
    <w:rsid w:val="0066722C"/>
    <w:rsid w:val="006700E0"/>
    <w:rsid w:val="0067214B"/>
    <w:rsid w:val="00677C64"/>
    <w:rsid w:val="00693C5F"/>
    <w:rsid w:val="00694CA2"/>
    <w:rsid w:val="00694E61"/>
    <w:rsid w:val="006964FC"/>
    <w:rsid w:val="006B78A8"/>
    <w:rsid w:val="006C49D1"/>
    <w:rsid w:val="006E0BFC"/>
    <w:rsid w:val="006E55F4"/>
    <w:rsid w:val="006E7700"/>
    <w:rsid w:val="006E7EC8"/>
    <w:rsid w:val="006F0D23"/>
    <w:rsid w:val="00701961"/>
    <w:rsid w:val="0070395B"/>
    <w:rsid w:val="007118BA"/>
    <w:rsid w:val="00722EF1"/>
    <w:rsid w:val="00736352"/>
    <w:rsid w:val="007540E5"/>
    <w:rsid w:val="007544BD"/>
    <w:rsid w:val="00760A24"/>
    <w:rsid w:val="0076301C"/>
    <w:rsid w:val="00766B00"/>
    <w:rsid w:val="0077011C"/>
    <w:rsid w:val="0078149A"/>
    <w:rsid w:val="00783017"/>
    <w:rsid w:val="00783450"/>
    <w:rsid w:val="007872F8"/>
    <w:rsid w:val="00790155"/>
    <w:rsid w:val="007950D5"/>
    <w:rsid w:val="007A23F4"/>
    <w:rsid w:val="007A25BA"/>
    <w:rsid w:val="007B21E1"/>
    <w:rsid w:val="007C1F70"/>
    <w:rsid w:val="007E0D23"/>
    <w:rsid w:val="007E19FA"/>
    <w:rsid w:val="007E4029"/>
    <w:rsid w:val="007F0083"/>
    <w:rsid w:val="008137A3"/>
    <w:rsid w:val="0081544B"/>
    <w:rsid w:val="00833172"/>
    <w:rsid w:val="00835B1F"/>
    <w:rsid w:val="008602A9"/>
    <w:rsid w:val="008760AC"/>
    <w:rsid w:val="008800A8"/>
    <w:rsid w:val="00883BBC"/>
    <w:rsid w:val="00883E00"/>
    <w:rsid w:val="008903C7"/>
    <w:rsid w:val="008913B8"/>
    <w:rsid w:val="008A0078"/>
    <w:rsid w:val="008B073C"/>
    <w:rsid w:val="008B5D37"/>
    <w:rsid w:val="008C5EA9"/>
    <w:rsid w:val="008C74BC"/>
    <w:rsid w:val="008E2C9F"/>
    <w:rsid w:val="009325DE"/>
    <w:rsid w:val="00941604"/>
    <w:rsid w:val="00942CCC"/>
    <w:rsid w:val="0096421C"/>
    <w:rsid w:val="00973BDE"/>
    <w:rsid w:val="0098379E"/>
    <w:rsid w:val="009865AA"/>
    <w:rsid w:val="00990CE0"/>
    <w:rsid w:val="009B30A2"/>
    <w:rsid w:val="009B4B99"/>
    <w:rsid w:val="009C1103"/>
    <w:rsid w:val="009D00D9"/>
    <w:rsid w:val="009D1F92"/>
    <w:rsid w:val="009D5971"/>
    <w:rsid w:val="009E193A"/>
    <w:rsid w:val="009F1A57"/>
    <w:rsid w:val="00A079DB"/>
    <w:rsid w:val="00A12488"/>
    <w:rsid w:val="00A279E1"/>
    <w:rsid w:val="00A307C5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B18AB"/>
    <w:rsid w:val="00AD0062"/>
    <w:rsid w:val="00AD04F5"/>
    <w:rsid w:val="00AD1B3B"/>
    <w:rsid w:val="00AD3C9F"/>
    <w:rsid w:val="00AD460B"/>
    <w:rsid w:val="00AD5218"/>
    <w:rsid w:val="00AE1E61"/>
    <w:rsid w:val="00AE450D"/>
    <w:rsid w:val="00AF1739"/>
    <w:rsid w:val="00AF6F3E"/>
    <w:rsid w:val="00B07E47"/>
    <w:rsid w:val="00B22AD5"/>
    <w:rsid w:val="00B23001"/>
    <w:rsid w:val="00B27562"/>
    <w:rsid w:val="00B31151"/>
    <w:rsid w:val="00B3115C"/>
    <w:rsid w:val="00B44196"/>
    <w:rsid w:val="00B719CE"/>
    <w:rsid w:val="00B73FE8"/>
    <w:rsid w:val="00B81C3E"/>
    <w:rsid w:val="00B83591"/>
    <w:rsid w:val="00BA0571"/>
    <w:rsid w:val="00BA1401"/>
    <w:rsid w:val="00BA1D26"/>
    <w:rsid w:val="00BB07FB"/>
    <w:rsid w:val="00BB0CC3"/>
    <w:rsid w:val="00BC4195"/>
    <w:rsid w:val="00BE72AF"/>
    <w:rsid w:val="00BF544F"/>
    <w:rsid w:val="00C03881"/>
    <w:rsid w:val="00C062CB"/>
    <w:rsid w:val="00C25DD0"/>
    <w:rsid w:val="00C33B30"/>
    <w:rsid w:val="00C36C02"/>
    <w:rsid w:val="00C3798E"/>
    <w:rsid w:val="00C4369F"/>
    <w:rsid w:val="00C43B58"/>
    <w:rsid w:val="00C43FDF"/>
    <w:rsid w:val="00C525AC"/>
    <w:rsid w:val="00C636E6"/>
    <w:rsid w:val="00C643C9"/>
    <w:rsid w:val="00C6512E"/>
    <w:rsid w:val="00C745A1"/>
    <w:rsid w:val="00C7596B"/>
    <w:rsid w:val="00C80539"/>
    <w:rsid w:val="00C826C9"/>
    <w:rsid w:val="00C9189F"/>
    <w:rsid w:val="00C93570"/>
    <w:rsid w:val="00CA22C7"/>
    <w:rsid w:val="00CC2123"/>
    <w:rsid w:val="00CC2C5D"/>
    <w:rsid w:val="00CF5BF8"/>
    <w:rsid w:val="00CF7A22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800"/>
    <w:rsid w:val="00DA1CBE"/>
    <w:rsid w:val="00DB73DB"/>
    <w:rsid w:val="00DD6002"/>
    <w:rsid w:val="00DF0117"/>
    <w:rsid w:val="00DF18B6"/>
    <w:rsid w:val="00DF642B"/>
    <w:rsid w:val="00E039E8"/>
    <w:rsid w:val="00E053CA"/>
    <w:rsid w:val="00E14889"/>
    <w:rsid w:val="00E16198"/>
    <w:rsid w:val="00E20738"/>
    <w:rsid w:val="00E22D77"/>
    <w:rsid w:val="00E259EA"/>
    <w:rsid w:val="00E27397"/>
    <w:rsid w:val="00E3282B"/>
    <w:rsid w:val="00E35970"/>
    <w:rsid w:val="00E4025B"/>
    <w:rsid w:val="00E45276"/>
    <w:rsid w:val="00E50CBA"/>
    <w:rsid w:val="00E54D02"/>
    <w:rsid w:val="00E55FD9"/>
    <w:rsid w:val="00E6373A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EC4E18"/>
    <w:rsid w:val="00EE616E"/>
    <w:rsid w:val="00F02E67"/>
    <w:rsid w:val="00F1365F"/>
    <w:rsid w:val="00F172DB"/>
    <w:rsid w:val="00F23D92"/>
    <w:rsid w:val="00F25E04"/>
    <w:rsid w:val="00F2773C"/>
    <w:rsid w:val="00F3207E"/>
    <w:rsid w:val="00F33397"/>
    <w:rsid w:val="00F33FB2"/>
    <w:rsid w:val="00F40190"/>
    <w:rsid w:val="00F479F7"/>
    <w:rsid w:val="00F50101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A6503"/>
    <w:rsid w:val="00FB4220"/>
    <w:rsid w:val="00FD5A31"/>
    <w:rsid w:val="00FE7DA0"/>
    <w:rsid w:val="00FF1C7D"/>
    <w:rsid w:val="00FF5E49"/>
    <w:rsid w:val="015636F8"/>
    <w:rsid w:val="018E717F"/>
    <w:rsid w:val="02012D35"/>
    <w:rsid w:val="02C26627"/>
    <w:rsid w:val="03160666"/>
    <w:rsid w:val="03B95B7D"/>
    <w:rsid w:val="03D70939"/>
    <w:rsid w:val="05B62335"/>
    <w:rsid w:val="062E5346"/>
    <w:rsid w:val="06926D13"/>
    <w:rsid w:val="06B0704C"/>
    <w:rsid w:val="07672918"/>
    <w:rsid w:val="077D4231"/>
    <w:rsid w:val="0852730A"/>
    <w:rsid w:val="08C4490E"/>
    <w:rsid w:val="0B7308FF"/>
    <w:rsid w:val="0BC416B7"/>
    <w:rsid w:val="0E697386"/>
    <w:rsid w:val="0FEF2172"/>
    <w:rsid w:val="101B284F"/>
    <w:rsid w:val="11B93186"/>
    <w:rsid w:val="12697394"/>
    <w:rsid w:val="12A53375"/>
    <w:rsid w:val="12A80920"/>
    <w:rsid w:val="13A51C33"/>
    <w:rsid w:val="14C439DD"/>
    <w:rsid w:val="15925856"/>
    <w:rsid w:val="15A26B52"/>
    <w:rsid w:val="16301051"/>
    <w:rsid w:val="16DD01D4"/>
    <w:rsid w:val="18BA0F43"/>
    <w:rsid w:val="1AE76FFF"/>
    <w:rsid w:val="1C2D30C9"/>
    <w:rsid w:val="1E03685E"/>
    <w:rsid w:val="1F35392A"/>
    <w:rsid w:val="21071267"/>
    <w:rsid w:val="21264052"/>
    <w:rsid w:val="212D69FF"/>
    <w:rsid w:val="21547330"/>
    <w:rsid w:val="21663696"/>
    <w:rsid w:val="22D05F84"/>
    <w:rsid w:val="24AB7787"/>
    <w:rsid w:val="24DF4E28"/>
    <w:rsid w:val="2506107F"/>
    <w:rsid w:val="25BB7EB9"/>
    <w:rsid w:val="26A35830"/>
    <w:rsid w:val="26DF36D3"/>
    <w:rsid w:val="26F764D8"/>
    <w:rsid w:val="27CF53F6"/>
    <w:rsid w:val="293D7588"/>
    <w:rsid w:val="29CB44E5"/>
    <w:rsid w:val="29F411C1"/>
    <w:rsid w:val="2B3542A3"/>
    <w:rsid w:val="2BA82ADB"/>
    <w:rsid w:val="2BD72CF4"/>
    <w:rsid w:val="2C217A39"/>
    <w:rsid w:val="2F5B255E"/>
    <w:rsid w:val="300332D9"/>
    <w:rsid w:val="31D62A98"/>
    <w:rsid w:val="34047CBB"/>
    <w:rsid w:val="35D94D62"/>
    <w:rsid w:val="36C27571"/>
    <w:rsid w:val="36FC57D7"/>
    <w:rsid w:val="38333537"/>
    <w:rsid w:val="38BA4CF1"/>
    <w:rsid w:val="38FA1B4F"/>
    <w:rsid w:val="39911F8C"/>
    <w:rsid w:val="3A175922"/>
    <w:rsid w:val="3A9C6630"/>
    <w:rsid w:val="3B9F1AF6"/>
    <w:rsid w:val="3E424464"/>
    <w:rsid w:val="3EC95C23"/>
    <w:rsid w:val="3FED1DD8"/>
    <w:rsid w:val="44215A8F"/>
    <w:rsid w:val="468C35D2"/>
    <w:rsid w:val="476A02AE"/>
    <w:rsid w:val="482F185E"/>
    <w:rsid w:val="483B5269"/>
    <w:rsid w:val="4A5842E0"/>
    <w:rsid w:val="4BAE7C5B"/>
    <w:rsid w:val="4C0842E9"/>
    <w:rsid w:val="4DC57066"/>
    <w:rsid w:val="4E3A167C"/>
    <w:rsid w:val="4E4630C7"/>
    <w:rsid w:val="4E4873BC"/>
    <w:rsid w:val="4EFB5A50"/>
    <w:rsid w:val="4F226B33"/>
    <w:rsid w:val="4F5A7728"/>
    <w:rsid w:val="517E4A18"/>
    <w:rsid w:val="521C4028"/>
    <w:rsid w:val="55B8634A"/>
    <w:rsid w:val="562E5D21"/>
    <w:rsid w:val="57A71AC0"/>
    <w:rsid w:val="58094566"/>
    <w:rsid w:val="598A1B72"/>
    <w:rsid w:val="59AE32A4"/>
    <w:rsid w:val="5A98568B"/>
    <w:rsid w:val="5B317EBF"/>
    <w:rsid w:val="5BBC4278"/>
    <w:rsid w:val="5C02353E"/>
    <w:rsid w:val="5C3A4E1A"/>
    <w:rsid w:val="5C3B0857"/>
    <w:rsid w:val="5E85332A"/>
    <w:rsid w:val="5F457474"/>
    <w:rsid w:val="5F6E2053"/>
    <w:rsid w:val="60681418"/>
    <w:rsid w:val="60C435AB"/>
    <w:rsid w:val="619817CE"/>
    <w:rsid w:val="63403DAC"/>
    <w:rsid w:val="64633A7F"/>
    <w:rsid w:val="661166A7"/>
    <w:rsid w:val="667D7612"/>
    <w:rsid w:val="66B320C6"/>
    <w:rsid w:val="67F65044"/>
    <w:rsid w:val="684E53DD"/>
    <w:rsid w:val="68E66C34"/>
    <w:rsid w:val="69953CCB"/>
    <w:rsid w:val="69B96080"/>
    <w:rsid w:val="6A083B87"/>
    <w:rsid w:val="6AA0476C"/>
    <w:rsid w:val="6B927DD3"/>
    <w:rsid w:val="6B995283"/>
    <w:rsid w:val="6D7B0A71"/>
    <w:rsid w:val="6E7D3CEA"/>
    <w:rsid w:val="70932F0B"/>
    <w:rsid w:val="70D77435"/>
    <w:rsid w:val="71193D3B"/>
    <w:rsid w:val="71EE4DB6"/>
    <w:rsid w:val="769728FC"/>
    <w:rsid w:val="77611D7E"/>
    <w:rsid w:val="78D1530A"/>
    <w:rsid w:val="793A02E9"/>
    <w:rsid w:val="7A424D83"/>
    <w:rsid w:val="7E6459CD"/>
    <w:rsid w:val="7FA14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qFormat/>
    <w:locked/>
    <w:uiPriority w:val="0"/>
    <w:pPr>
      <w:keepNext/>
      <w:numPr>
        <w:ilvl w:val="0"/>
        <w:numId w:val="1"/>
      </w:numPr>
      <w:outlineLvl w:val="2"/>
    </w:pPr>
    <w:rPr>
      <w:b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Normal Indent"/>
    <w:basedOn w:val="1"/>
    <w:qFormat/>
    <w:uiPriority w:val="99"/>
    <w:pPr>
      <w:spacing w:line="360" w:lineRule="auto"/>
      <w:jc w:val="center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toc 1"/>
    <w:basedOn w:val="1"/>
    <w:next w:val="1"/>
    <w:qFormat/>
    <w:uiPriority w:val="99"/>
    <w:rPr>
      <w:rFonts w:ascii="Calibri" w:hAnsi="Calibri"/>
      <w:b/>
      <w:szCs w:val="20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1"/>
    <w:link w:val="6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5">
    <w:name w:val="页脚 Char"/>
    <w:basedOn w:val="11"/>
    <w:link w:val="7"/>
    <w:qFormat/>
    <w:locked/>
    <w:uiPriority w:val="99"/>
    <w:rPr>
      <w:sz w:val="18"/>
    </w:rPr>
  </w:style>
  <w:style w:type="character" w:customStyle="1" w:styleId="16">
    <w:name w:val="页眉 Char"/>
    <w:basedOn w:val="11"/>
    <w:link w:val="8"/>
    <w:semiHidden/>
    <w:qFormat/>
    <w:locked/>
    <w:uiPriority w:val="99"/>
    <w:rPr>
      <w:sz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f14w1"/>
    <w:qFormat/>
    <w:uiPriority w:val="99"/>
    <w:rPr>
      <w:b/>
      <w:color w:val="002569"/>
      <w:sz w:val="21"/>
    </w:rPr>
  </w:style>
  <w:style w:type="paragraph" w:customStyle="1" w:styleId="19">
    <w:name w:val="Char Char Char Char Char Char Char Char Char Char Char1 Char Char Char Char"/>
    <w:basedOn w:val="1"/>
    <w:qFormat/>
    <w:uiPriority w:val="99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20">
    <w:name w:val="列出段落11"/>
    <w:basedOn w:val="1"/>
    <w:qFormat/>
    <w:uiPriority w:val="99"/>
    <w:pPr>
      <w:ind w:firstLine="420" w:firstLineChars="200"/>
    </w:pPr>
  </w:style>
  <w:style w:type="paragraph" w:customStyle="1" w:styleId="21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35</Pages>
  <Words>9907</Words>
  <Characters>11969</Characters>
  <Lines>36</Lines>
  <Paragraphs>10</Paragraphs>
  <TotalTime>1</TotalTime>
  <ScaleCrop>false</ScaleCrop>
  <LinksUpToDate>false</LinksUpToDate>
  <CharactersWithSpaces>12405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2017-11-29T06:24:00Z</dcterms:created>
  <dc:creator>周</dc:creator>
  <cp:lastModifiedBy>v.v</cp:lastModifiedBy>
  <cp:lastPrinted>2019-07-11T03:12:00Z</cp:lastPrinted>
  <dcterms:modified xsi:type="dcterms:W3CDTF">2020-11-02T02:36:29Z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