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spacing w:line="48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lang w:val="en-US" w:eastAsia="zh-CN"/>
        </w:rPr>
        <w:t>女</w:t>
      </w:r>
      <w:r>
        <w:rPr>
          <w:rFonts w:hint="eastAsia" w:ascii="方正小标宋简体" w:hAnsi="仿宋" w:eastAsia="方正小标宋简体"/>
          <w:b/>
          <w:sz w:val="44"/>
          <w:szCs w:val="44"/>
          <w:lang w:eastAsia="zh-CN"/>
        </w:rPr>
        <w:t>职工市内医院健康体检</w:t>
      </w:r>
      <w:r>
        <w:rPr>
          <w:rFonts w:hint="eastAsia" w:ascii="方正小标宋简体" w:hAnsi="仿宋" w:eastAsia="方正小标宋简体"/>
          <w:b/>
          <w:sz w:val="44"/>
          <w:szCs w:val="44"/>
        </w:rPr>
        <w:t>采购项目</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val="en-US" w:eastAsia="zh-CN"/>
        </w:rPr>
        <w:t>服务2020-076</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重庆机场集团有限公司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采购办公室（代章）</w:t>
      </w:r>
    </w:p>
    <w:p>
      <w:pPr>
        <w:rPr>
          <w:rFonts w:ascii="仿宋" w:hAnsi="仿宋" w:eastAsia="仿宋"/>
          <w:b/>
          <w:color w:val="000000"/>
          <w:sz w:val="32"/>
          <w:szCs w:val="32"/>
        </w:rPr>
      </w:pPr>
    </w:p>
    <w:p>
      <w:pPr>
        <w:ind w:firstLine="3213" w:firstLineChars="1000"/>
        <w:rPr>
          <w:rFonts w:ascii="方正小标宋简体" w:eastAsia="方正小标宋简体"/>
          <w:b/>
          <w:color w:val="000000"/>
          <w:sz w:val="32"/>
          <w:szCs w:val="32"/>
        </w:rPr>
      </w:pPr>
      <w:r>
        <w:rPr>
          <w:rFonts w:hint="eastAsia" w:ascii="方正小标宋简体" w:eastAsia="方正小标宋简体"/>
          <w:b/>
          <w:color w:val="000000"/>
          <w:sz w:val="32"/>
          <w:szCs w:val="32"/>
        </w:rPr>
        <w:t>二〇二〇年</w:t>
      </w:r>
      <w:r>
        <w:rPr>
          <w:rFonts w:hint="eastAsia" w:ascii="宋体" w:hAnsi="宋体" w:eastAsia="方正小标宋简体" w:cs="宋体"/>
          <w:b/>
          <w:color w:val="000000"/>
          <w:sz w:val="32"/>
          <w:szCs w:val="32"/>
          <w:lang w:val="en-US" w:eastAsia="zh-CN"/>
        </w:rPr>
        <w:t>十</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方正小标宋_GBK" w:eastAsia="方正小标宋_GBK" w:hAnsiTheme="minorHAnsi" w:cstheme="minorBidi"/>
          <w:sz w:val="36"/>
          <w:szCs w:val="36"/>
          <w:highlight w:val="none"/>
        </w:rPr>
      </w:pPr>
      <w:r>
        <w:rPr>
          <w:rFonts w:hint="eastAsia" w:ascii="方正小标宋_GBK" w:eastAsia="方正小标宋_GBK"/>
          <w:sz w:val="36"/>
          <w:szCs w:val="36"/>
          <w:highlight w:val="none"/>
        </w:rPr>
        <w:t>重庆机场</w:t>
      </w:r>
      <w:r>
        <w:rPr>
          <w:rFonts w:hint="eastAsia" w:ascii="方正小标宋_GBK" w:eastAsia="方正小标宋_GBK"/>
          <w:sz w:val="36"/>
          <w:szCs w:val="36"/>
          <w:highlight w:val="none"/>
          <w:lang w:val="en-US" w:eastAsia="zh-CN"/>
        </w:rPr>
        <w:t>女</w:t>
      </w:r>
      <w:r>
        <w:rPr>
          <w:rFonts w:hint="eastAsia" w:ascii="方正小标宋_GBK" w:eastAsia="方正小标宋_GBK"/>
          <w:sz w:val="36"/>
          <w:szCs w:val="36"/>
          <w:highlight w:val="none"/>
          <w:lang w:eastAsia="zh-CN"/>
        </w:rPr>
        <w:t>职工市内医院健康体检</w:t>
      </w:r>
      <w:r>
        <w:rPr>
          <w:rFonts w:hint="eastAsia" w:ascii="方正小标宋_GBK" w:eastAsia="方正小标宋_GBK"/>
          <w:sz w:val="36"/>
          <w:szCs w:val="36"/>
          <w:highlight w:val="none"/>
        </w:rPr>
        <w:t>采购项目比选</w:t>
      </w:r>
      <w:r>
        <w:rPr>
          <w:rFonts w:ascii="方正小标宋_GBK" w:eastAsia="方正小标宋_GBK"/>
          <w:sz w:val="36"/>
          <w:szCs w:val="36"/>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我司决定于对重庆机场</w:t>
      </w:r>
      <w:r>
        <w:rPr>
          <w:rFonts w:hint="eastAsia" w:ascii="方正仿宋_GBK" w:hAnsi="方正仿宋_GBK" w:eastAsia="方正仿宋_GBK" w:cs="方正仿宋_GBK"/>
          <w:sz w:val="28"/>
          <w:szCs w:val="28"/>
          <w:highlight w:val="none"/>
          <w:lang w:val="en-US" w:eastAsia="zh-CN"/>
        </w:rPr>
        <w:t>女</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采购项目邀请符合相应条件的服务供应商参与比选。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资格要求</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sz w:val="28"/>
          <w:szCs w:val="28"/>
          <w:lang w:eastAsia="zh-CN"/>
        </w:rPr>
        <w:t>且公司</w:t>
      </w:r>
      <w:r>
        <w:rPr>
          <w:rFonts w:ascii="方正仿宋_GBK" w:hAnsi="方正仿宋_GBK" w:eastAsia="方正仿宋_GBK" w:cs="方正仿宋_GBK"/>
          <w:color w:val="000000" w:themeColor="text1"/>
          <w:sz w:val="28"/>
          <w:szCs w:val="28"/>
          <w14:textFill>
            <w14:solidFill>
              <w14:schemeClr w14:val="tx1"/>
            </w14:solidFill>
          </w14:textFill>
        </w:rPr>
        <w:t>位于重庆</w:t>
      </w:r>
      <w:r>
        <w:rPr>
          <w:rFonts w:hint="eastAsia" w:ascii="方正仿宋_GBK" w:hAnsi="方正仿宋_GBK" w:eastAsia="方正仿宋_GBK" w:cs="方正仿宋_GBK"/>
          <w:color w:val="000000" w:themeColor="text1"/>
          <w:sz w:val="28"/>
          <w:szCs w:val="28"/>
          <w14:textFill>
            <w14:solidFill>
              <w14:schemeClr w14:val="tx1"/>
            </w14:solidFill>
          </w14:textFill>
        </w:rPr>
        <w:t>市主城区</w:t>
      </w:r>
      <w:r>
        <w:rPr>
          <w:rFonts w:hint="eastAsia" w:ascii="方正仿宋_GBK" w:hAnsi="方正仿宋_GBK" w:eastAsia="方正仿宋_GBK" w:cs="方正仿宋_GBK"/>
          <w:sz w:val="28"/>
          <w:szCs w:val="28"/>
        </w:rPr>
        <w:t>(提供有效的营业执照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事业单位法人证书、民办非企业单位登记证书等</w:t>
      </w:r>
      <w:r>
        <w:rPr>
          <w:rFonts w:hint="eastAsia" w:ascii="方正仿宋_GBK" w:hAnsi="方正仿宋_GBK" w:eastAsia="方正仿宋_GBK" w:cs="方正仿宋_GBK"/>
          <w:sz w:val="28"/>
          <w:szCs w:val="28"/>
        </w:rPr>
        <w:t>复印件并加盖鲜章)</w:t>
      </w:r>
      <w:r>
        <w:rPr>
          <w:rFonts w:ascii="方正仿宋_GBK" w:hAnsi="方正仿宋_GBK" w:eastAsia="方正仿宋_GBK" w:cs="方正仿宋_GBK"/>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1.1.2</w:t>
      </w:r>
      <w:r>
        <w:rPr>
          <w:rFonts w:hint="eastAsia" w:ascii="方正仿宋_GBK" w:hAnsi="方正仿宋_GBK" w:eastAsia="方正仿宋_GBK" w:cs="方正仿宋_GBK"/>
          <w:sz w:val="28"/>
          <w:szCs w:val="28"/>
        </w:rPr>
        <w:t>具备国家卫生行政部门颁发的医疗机构执业许可证</w:t>
      </w:r>
      <w:r>
        <w:rPr>
          <w:rFonts w:ascii="方正仿宋_GBK" w:hAnsi="方正仿宋_GBK" w:eastAsia="方正仿宋_GBK" w:cs="方正仿宋_GBK"/>
          <w:sz w:val="28"/>
          <w:szCs w:val="28"/>
        </w:rPr>
        <w:t>（提供正、副本复印件加盖鲜章</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1.1.3响应人应为</w:t>
      </w:r>
      <w:r>
        <w:rPr>
          <w:rFonts w:hint="eastAsia" w:ascii="方正仿宋_GBK" w:hAnsi="方正仿宋_GBK" w:eastAsia="方正仿宋_GBK" w:cs="方正仿宋_GBK"/>
          <w:color w:val="000000" w:themeColor="text1"/>
          <w:sz w:val="28"/>
          <w:szCs w:val="28"/>
          <w14:textFill>
            <w14:solidFill>
              <w14:schemeClr w14:val="tx1"/>
            </w14:solidFill>
          </w14:textFill>
        </w:rPr>
        <w:t>国家卫生行政部门</w:t>
      </w:r>
      <w:r>
        <w:rPr>
          <w:rFonts w:ascii="方正仿宋_GBK" w:hAnsi="方正仿宋_GBK" w:eastAsia="方正仿宋_GBK" w:cs="方正仿宋_GBK"/>
          <w:color w:val="000000" w:themeColor="text1"/>
          <w:sz w:val="28"/>
          <w:szCs w:val="28"/>
          <w14:textFill>
            <w14:solidFill>
              <w14:schemeClr w14:val="tx1"/>
            </w14:solidFill>
          </w14:textFill>
        </w:rPr>
        <w:t>认定的三级</w:t>
      </w:r>
      <w:r>
        <w:rPr>
          <w:rFonts w:hint="eastAsia" w:ascii="方正仿宋_GBK" w:hAnsi="方正仿宋_GBK" w:eastAsia="方正仿宋_GBK" w:cs="方正仿宋_GBK"/>
          <w:color w:val="000000" w:themeColor="text1"/>
          <w:sz w:val="28"/>
          <w:szCs w:val="28"/>
          <w14:textFill>
            <w14:solidFill>
              <w14:schemeClr w14:val="tx1"/>
            </w14:solidFill>
          </w14:textFill>
        </w:rPr>
        <w:t>及以上</w:t>
      </w:r>
      <w:r>
        <w:rPr>
          <w:rFonts w:ascii="方正仿宋_GBK" w:hAnsi="方正仿宋_GBK" w:eastAsia="方正仿宋_GBK" w:cs="方正仿宋_GBK"/>
          <w:color w:val="000000" w:themeColor="text1"/>
          <w:sz w:val="28"/>
          <w:szCs w:val="28"/>
          <w14:textFill>
            <w14:solidFill>
              <w14:schemeClr w14:val="tx1"/>
            </w14:solidFill>
          </w14:textFill>
        </w:rPr>
        <w:t>的综合性医院（提供相关资</w:t>
      </w:r>
      <w:r>
        <w:rPr>
          <w:rFonts w:ascii="方正仿宋_GBK" w:hAnsi="方正仿宋_GBK" w:eastAsia="方正仿宋_GBK" w:cs="方正仿宋_GBK"/>
          <w:sz w:val="28"/>
          <w:szCs w:val="28"/>
        </w:rPr>
        <w:t>质证明文件复印件加盖鲜章）</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法定代表人为同一个人的两个及两个以上法人，母公司、全资子公司及其控股公司，以及其他形式有管理关系的响应人，都不得在同一比选项目中同时参与。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pPr>
      <w:r>
        <w:rPr>
          <w:rFonts w:hint="eastAsia" w:ascii="方正仿宋_GBK" w:hAnsi="方正仿宋_GBK" w:eastAsia="方正仿宋_GBK" w:cs="方正仿宋_GBK"/>
          <w:sz w:val="28"/>
          <w:szCs w:val="28"/>
          <w:lang w:val="en-US" w:eastAsia="zh-CN"/>
        </w:rPr>
        <w:t>1.1.5</w:t>
      </w:r>
      <w:r>
        <w:rPr>
          <w:rFonts w:hint="eastAsia" w:ascii="方正仿宋_GBK" w:hAnsi="方正仿宋_GBK" w:eastAsia="方正仿宋_GBK" w:cs="方正仿宋_GBK"/>
          <w:sz w:val="28"/>
          <w:szCs w:val="28"/>
        </w:rPr>
        <w:t>本项目不接受联合体，不得转包、分包。</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项目概况及报价要求</w:t>
      </w:r>
    </w:p>
    <w:p>
      <w:pPr>
        <w:pStyle w:val="2"/>
        <w:keepNext w:val="0"/>
        <w:keepLines w:val="0"/>
        <w:pageBreakBefore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eastAsia="方正仿宋_GBK"/>
          <w:lang w:eastAsia="zh-CN"/>
        </w:rPr>
      </w:pPr>
      <w:r>
        <w:rPr>
          <w:rFonts w:hint="eastAsia" w:ascii="方正仿宋_GBK" w:hAnsi="方正仿宋_GBK" w:eastAsia="方正仿宋_GBK" w:cs="方正仿宋_GBK"/>
          <w:b/>
          <w:bCs/>
          <w:color w:val="000000"/>
          <w:kern w:val="0"/>
          <w:sz w:val="28"/>
          <w:szCs w:val="28"/>
          <w:lang w:val="en-US" w:eastAsia="zh-CN"/>
        </w:rPr>
        <w:t>1.2.1</w:t>
      </w:r>
      <w:r>
        <w:rPr>
          <w:rFonts w:hint="eastAsia" w:ascii="方正仿宋_GBK" w:hAnsi="方正仿宋_GBK" w:eastAsia="方正仿宋_GBK" w:cs="方正仿宋_GBK"/>
          <w:b/>
          <w:bCs/>
          <w:color w:val="000000"/>
          <w:kern w:val="0"/>
          <w:sz w:val="28"/>
          <w:szCs w:val="28"/>
          <w:lang w:eastAsia="zh-CN"/>
        </w:rPr>
        <w:t>项目概况及要求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1.2.1.1</w:t>
      </w: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重庆机场女</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职工市内医院健康体检采购项目</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项目内容：</w:t>
      </w:r>
    </w:p>
    <w:p>
      <w:pPr>
        <w:pStyle w:val="2"/>
        <w:rPr>
          <w:rFonts w:hint="eastAsia"/>
        </w:rPr>
      </w:pPr>
    </w:p>
    <w:p>
      <w:pPr>
        <w:rPr>
          <w:rFonts w:hint="eastAsia"/>
        </w:rPr>
      </w:pPr>
    </w:p>
    <w:p>
      <w:pPr>
        <w:pStyle w:val="2"/>
        <w:rPr>
          <w:rFonts w:hint="eastAsia"/>
        </w:rPr>
      </w:pPr>
    </w:p>
    <w:p>
      <w:pPr>
        <w:rPr>
          <w:rFonts w:hint="eastAsia"/>
        </w:rPr>
      </w:pPr>
    </w:p>
    <w:tbl>
      <w:tblPr>
        <w:tblStyle w:val="68"/>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90"/>
        <w:gridCol w:w="533"/>
        <w:gridCol w:w="1131"/>
        <w:gridCol w:w="1187"/>
        <w:gridCol w:w="790"/>
        <w:gridCol w:w="1336"/>
        <w:gridCol w:w="1241"/>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519"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2154" w:type="dxa"/>
            <w:gridSpan w:val="3"/>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1977" w:type="dxa"/>
            <w:gridSpan w:val="2"/>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eastAsia="宋体"/>
                <w:b/>
                <w:color w:val="000000"/>
                <w:sz w:val="24"/>
                <w:lang w:eastAsia="zh-CN"/>
              </w:rPr>
            </w:pPr>
            <w:r>
              <w:rPr>
                <w:rFonts w:hint="eastAsia" w:ascii="宋体" w:hAnsi="宋体"/>
                <w:b/>
                <w:color w:val="000000"/>
                <w:sz w:val="24"/>
                <w:lang w:eastAsia="zh-CN"/>
              </w:rPr>
              <w:t>具体内容</w:t>
            </w:r>
          </w:p>
        </w:tc>
        <w:tc>
          <w:tcPr>
            <w:tcW w:w="1336"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预估人数</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4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单价</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69"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rPr>
            </w:pPr>
            <w:r>
              <w:rPr>
                <w:rFonts w:hint="eastAsia" w:ascii="宋体" w:hAnsi="宋体"/>
                <w:b/>
                <w:color w:val="000000"/>
                <w:sz w:val="24"/>
              </w:rPr>
              <w:t>合计</w:t>
            </w:r>
          </w:p>
          <w:p>
            <w:pPr>
              <w:ind w:firstLine="0" w:firstLineChars="0"/>
              <w:jc w:val="center"/>
              <w:rPr>
                <w:rFonts w:hint="eastAsia" w:ascii="宋体" w:hAnsi="宋体" w:eastAsia="宋体"/>
                <w:b/>
                <w:color w:val="000000"/>
                <w:sz w:val="24"/>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 xml:space="preserve">元 </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519"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490"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已</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目</w:t>
            </w:r>
          </w:p>
        </w:tc>
        <w:tc>
          <w:tcPr>
            <w:tcW w:w="1664"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1240</w:t>
            </w: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490"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p>
        </w:tc>
        <w:tc>
          <w:tcPr>
            <w:tcW w:w="1664"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子宫附件彩超（阴式）</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妇科检查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内阴、阴道、外阴检查等</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白带常规</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滴虫、霉菌、清洁度、细菌性</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TCT液基细胞学检查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490" w:type="dxa"/>
            <w:vMerge w:val="restart"/>
            <w:tcBorders>
              <w:top w:val="single" w:color="auto" w:sz="4" w:space="0"/>
              <w:right w:val="single" w:color="auto" w:sz="2" w:space="0"/>
            </w:tcBorders>
            <w:vAlign w:val="center"/>
          </w:tcPr>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未</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color w:val="000000"/>
                <w:sz w:val="24"/>
                <w:szCs w:val="24"/>
              </w:rPr>
            </w:pPr>
            <w:r>
              <w:rPr>
                <w:rFonts w:hint="eastAsia" w:ascii="宋体" w:hAnsi="宋体"/>
                <w:snapToGrid/>
                <w:color w:val="000000"/>
                <w:spacing w:val="0"/>
                <w:kern w:val="2"/>
                <w:sz w:val="24"/>
                <w:szCs w:val="24"/>
              </w:rPr>
              <w:t>目</w:t>
            </w: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590</w:t>
            </w: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子宫附件彩超（腹部）</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60" w:type="dxa"/>
            <w:gridSpan w:val="5"/>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lang w:eastAsia="zh-CN"/>
              </w:rPr>
              <w:t>最终报价合计</w:t>
            </w:r>
            <w:r>
              <w:rPr>
                <w:rFonts w:hint="eastAsia" w:ascii="宋体" w:hAnsi="宋体"/>
                <w:color w:val="000000"/>
                <w:sz w:val="24"/>
                <w:szCs w:val="24"/>
                <w:lang w:val="en-US" w:eastAsia="zh-CN"/>
              </w:rPr>
              <w:t>/年</w:t>
            </w:r>
            <w:r>
              <w:rPr>
                <w:rFonts w:hint="eastAsia" w:ascii="宋体" w:hAnsi="宋体"/>
                <w:color w:val="000000"/>
                <w:sz w:val="24"/>
                <w:szCs w:val="24"/>
                <w:lang w:eastAsia="zh-CN"/>
              </w:rPr>
              <w:t>（元）</w:t>
            </w:r>
          </w:p>
        </w:tc>
        <w:tc>
          <w:tcPr>
            <w:tcW w:w="4636" w:type="dxa"/>
            <w:gridSpan w:val="4"/>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542" w:type="dxa"/>
            <w:gridSpan w:val="3"/>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rPr>
              <w:t>备注</w:t>
            </w:r>
          </w:p>
        </w:tc>
        <w:tc>
          <w:tcPr>
            <w:tcW w:w="6954" w:type="dxa"/>
            <w:gridSpan w:val="6"/>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按每年实际参加人数和相应的体检</w:t>
            </w:r>
            <w:r>
              <w:rPr>
                <w:rFonts w:hint="eastAsia" w:ascii="宋体" w:hAnsi="宋体"/>
                <w:snapToGrid/>
                <w:color w:val="000000"/>
                <w:spacing w:val="0"/>
                <w:kern w:val="2"/>
                <w:sz w:val="24"/>
                <w:szCs w:val="24"/>
                <w:lang w:eastAsia="zh-CN"/>
              </w:rPr>
              <w:t>项目</w:t>
            </w:r>
            <w:r>
              <w:rPr>
                <w:rFonts w:hint="eastAsia" w:ascii="宋体" w:hAnsi="宋体"/>
                <w:snapToGrid/>
                <w:color w:val="000000"/>
                <w:spacing w:val="0"/>
                <w:kern w:val="2"/>
                <w:sz w:val="24"/>
                <w:szCs w:val="24"/>
              </w:rPr>
              <w:t>结算。</w:t>
            </w:r>
          </w:p>
        </w:tc>
      </w:tr>
    </w:tbl>
    <w:p>
      <w:pPr>
        <w:rPr>
          <w:rFonts w:hint="eastAsia"/>
        </w:rPr>
      </w:pP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1.2.1.3服务期限：</w:t>
      </w:r>
      <w:r>
        <w:rPr>
          <w:rFonts w:hint="eastAsia" w:ascii="方正仿宋_GBK" w:hAnsi="方正仿宋_GBK" w:eastAsia="方正仿宋_GBK" w:cs="方正仿宋_GBK"/>
          <w:b w:val="0"/>
          <w:spacing w:val="0"/>
          <w:w w:val="100"/>
          <w:kern w:val="2"/>
          <w:sz w:val="28"/>
          <w:szCs w:val="28"/>
          <w:u w:val="single"/>
          <w:lang w:val="en-US" w:eastAsia="zh-CN" w:bidi="ar-SA"/>
        </w:rPr>
        <w:t>在2020年12月20日之前完成体检。</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1.2.1.4体检服务要求（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（1）有独立的体检场地且体检中心使用面积</w:t>
      </w:r>
      <w:r>
        <w:rPr>
          <w:rFonts w:hint="default" w:ascii="Arial" w:hAnsi="Arial" w:eastAsia="方正仿宋_GBK" w:cs="Arial"/>
          <w:b w:val="0"/>
          <w:spacing w:val="0"/>
          <w:w w:val="100"/>
          <w:kern w:val="2"/>
          <w:sz w:val="28"/>
          <w:szCs w:val="28"/>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2800平方米，所有经采购方确认的体检项目必须在体检中心内完成（特殊项目：采集后的血液和尿液等实验室检查项目除外）。（提供体检场地及面积的平面图纸、体检科室布局以及提供服务承诺且加盖鲜章） </w:t>
      </w:r>
    </w:p>
    <w:p>
      <w:pPr>
        <w:pStyle w:val="411"/>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560" w:lineRule="exact"/>
        <w:ind w:firstLine="480"/>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w:t>
      </w:r>
      <w:r>
        <w:rPr>
          <w:rFonts w:hint="eastAsia" w:ascii="方正仿宋_GBK" w:hAnsi="方正仿宋_GBK" w:eastAsia="方正仿宋_GBK" w:cs="方正仿宋_GBK"/>
          <w:b w:val="0"/>
          <w:spacing w:val="0"/>
          <w:w w:val="100"/>
          <w:kern w:val="2"/>
          <w:sz w:val="28"/>
          <w:szCs w:val="28"/>
          <w:shd w:val="clear" w:color="auto" w:fill="auto"/>
          <w:lang w:val="en-US" w:eastAsia="zh-CN" w:bidi="ar-SA"/>
        </w:rPr>
        <w:t>各检查项目主检医师须具有主治医师及以上资质,已婚及未婚项目由符合资质的女医生检查。（</w:t>
      </w:r>
      <w:r>
        <w:rPr>
          <w:rFonts w:hint="eastAsia" w:ascii="方正仿宋_GBK" w:hAnsi="方正仿宋_GBK" w:eastAsia="方正仿宋_GBK" w:cs="方正仿宋_GBK"/>
          <w:b w:val="0"/>
          <w:spacing w:val="0"/>
          <w:w w:val="100"/>
          <w:kern w:val="2"/>
          <w:sz w:val="28"/>
          <w:szCs w:val="28"/>
          <w:lang w:val="en-US" w:eastAsia="zh-CN" w:bidi="ar-SA"/>
        </w:rPr>
        <w:t>提供体检</w:t>
      </w:r>
      <w:r>
        <w:rPr>
          <w:rFonts w:hint="eastAsia" w:ascii="方正仿宋_GBK" w:hAnsi="方正仿宋_GBK" w:eastAsia="方正仿宋_GBK" w:cs="方正仿宋_GBK"/>
          <w:b w:val="0"/>
          <w:color w:val="FF0000"/>
          <w:spacing w:val="0"/>
          <w:w w:val="100"/>
          <w:kern w:val="2"/>
          <w:sz w:val="28"/>
          <w:szCs w:val="28"/>
          <w:lang w:val="en-US" w:eastAsia="zh-CN" w:bidi="ar-SA"/>
        </w:rPr>
        <w:t>各相关</w:t>
      </w:r>
      <w:r>
        <w:rPr>
          <w:rFonts w:hint="eastAsia" w:ascii="方正仿宋_GBK" w:hAnsi="方正仿宋_GBK" w:eastAsia="方正仿宋_GBK" w:cs="方正仿宋_GBK"/>
          <w:b w:val="0"/>
          <w:spacing w:val="0"/>
          <w:w w:val="100"/>
          <w:kern w:val="2"/>
          <w:sz w:val="28"/>
          <w:szCs w:val="28"/>
          <w:lang w:val="en-US" w:eastAsia="zh-CN" w:bidi="ar-SA"/>
        </w:rPr>
        <w:t>科室主检医师名单及相关资质证明资料且加盖鲜章）</w:t>
      </w:r>
    </w:p>
    <w:p>
      <w:pPr>
        <w:pStyle w:val="411"/>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严格按照体检技术操作规范查体，重大阳性体征发现报告及时。为阳性体征体检人员在体检医院相关临床科室提供后续诊疗绿色通道。（提供服务承诺且加盖鲜章） </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4）医院要由副主任医师及以上资质医师填写每人的体检总评报告，并由体检医院盖章出具报告（内容包括检验结果及建议），以书面、密封的形式于体检后3周内送达重庆机场集团党群工作部9011办公室。（提供服务承诺且加盖鲜章） </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（5）交付体检总结报告（附各病种异常率、疾病发病率的人员统计等），写出分析报告并提出相关建议。体检方在体检结束后的3个月内为采购方提供一次免费的专家咨询服务。（提供服务承诺且加盖鲜章） </w:t>
      </w:r>
    </w:p>
    <w:p>
      <w:pPr>
        <w:pStyle w:val="411"/>
        <w:keepNext w:val="0"/>
        <w:keepLines w:val="0"/>
        <w:pageBreakBefore w:val="0"/>
        <w:tabs>
          <w:tab w:val="left" w:pos="540"/>
        </w:tabs>
        <w:kinsoku/>
        <w:wordWrap/>
        <w:overflowPunct/>
        <w:topLinePunct w:val="0"/>
        <w:autoSpaceDE/>
        <w:autoSpaceDN/>
        <w:bidi w:val="0"/>
        <w:adjustRightInd w:val="0"/>
        <w:snapToGrid w:val="0"/>
        <w:spacing w:line="560" w:lineRule="exact"/>
        <w:ind w:firstLine="48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（6）体检方需为采购方自驾车体检者提供免费停车服务。（提供服务承诺且加盖鲜章） </w:t>
      </w:r>
    </w:p>
    <w:p>
      <w:pPr>
        <w:pStyle w:val="411"/>
        <w:keepNext w:val="0"/>
        <w:keepLines w:val="0"/>
        <w:pageBreakBefore w:val="0"/>
        <w:tabs>
          <w:tab w:val="left" w:pos="540"/>
        </w:tabs>
        <w:kinsoku/>
        <w:wordWrap/>
        <w:overflowPunct/>
        <w:topLinePunct w:val="0"/>
        <w:autoSpaceDE/>
        <w:autoSpaceDN/>
        <w:bidi w:val="0"/>
        <w:adjustRightInd w:val="0"/>
        <w:snapToGrid w:val="0"/>
        <w:spacing w:line="560" w:lineRule="exact"/>
        <w:ind w:firstLine="48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（7）在采购方职工体检期限内，职工自费自选体检项目应享受单位体检优惠价格，职工家属体检价格享受与职工同等权利。（提供服务承诺且加盖鲜章）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1.2.2响应文件报价：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1.2.2.1本项目的报价应包括体检项目单价及合计总价，所有的报价均以人民币元为计算单位。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1.2.2.2本次的采购数量（体检人数）以采购方实际需求为准，具体费用根据实际体检人数和对应体检项目单价按实结算。</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1.2.2.3本项目最高限价</w:t>
      </w:r>
      <w:r>
        <w:rPr>
          <w:rFonts w:hint="eastAsia" w:ascii="方正仿宋_GBK" w:hAnsi="方正仿宋_GBK" w:eastAsia="方正仿宋_GBK" w:cs="方正仿宋_GBK"/>
          <w:b w:val="0"/>
          <w:color w:val="auto"/>
          <w:spacing w:val="0"/>
          <w:w w:val="100"/>
          <w:kern w:val="2"/>
          <w:sz w:val="28"/>
          <w:szCs w:val="28"/>
          <w:shd w:val="clear" w:color="auto" w:fill="auto"/>
          <w:lang w:val="en-US" w:eastAsia="zh-CN" w:bidi="ar-SA"/>
        </w:rPr>
        <w:t>为58万</w:t>
      </w:r>
      <w:r>
        <w:rPr>
          <w:rFonts w:hint="eastAsia" w:ascii="方正仿宋_GBK" w:hAnsi="方正仿宋_GBK" w:eastAsia="方正仿宋_GBK" w:cs="方正仿宋_GBK"/>
          <w:b w:val="0"/>
          <w:spacing w:val="0"/>
          <w:w w:val="100"/>
          <w:kern w:val="2"/>
          <w:sz w:val="28"/>
          <w:szCs w:val="28"/>
          <w:shd w:val="clear" w:color="auto" w:fill="auto"/>
          <w:lang w:val="en-US" w:eastAsia="zh-CN" w:bidi="ar-SA"/>
        </w:rPr>
        <w:t>元（大写金额：伍拾捌万元整）。报价超过最高限价，将取消比选响应方的比选资格。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作废的依据：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eastAsia="zh-CN"/>
        </w:rPr>
        <w:t>服务能力的医疗机构</w:t>
      </w:r>
      <w:r>
        <w:rPr>
          <w:rFonts w:hint="eastAsia" w:ascii="方正仿宋_GBK" w:hAnsi="方正仿宋_GBK" w:eastAsia="方正仿宋_GBK" w:cs="方正仿宋_GBK"/>
          <w:color w:val="000000"/>
          <w:sz w:val="28"/>
          <w:szCs w:val="28"/>
        </w:rPr>
        <w:t>。比选响应单位必须具备：</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 营业执照、公司资质（</w:t>
      </w:r>
      <w:r>
        <w:rPr>
          <w:rFonts w:hint="eastAsia" w:ascii="方正仿宋_GBK" w:hAnsi="方正仿宋_GBK" w:eastAsia="方正仿宋_GBK" w:cs="方正仿宋_GBK"/>
          <w:color w:val="FF0000"/>
          <w:sz w:val="28"/>
          <w:szCs w:val="28"/>
        </w:rPr>
        <w:t>1.1</w:t>
      </w:r>
      <w:r>
        <w:rPr>
          <w:rFonts w:hint="eastAsia" w:ascii="方正仿宋_GBK" w:hAnsi="方正仿宋_GBK" w:eastAsia="方正仿宋_GBK" w:cs="方正仿宋_GBK"/>
          <w:color w:val="000000"/>
          <w:sz w:val="28"/>
          <w:szCs w:val="28"/>
        </w:rPr>
        <w:t>条款内容）等；</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2.3 法定代表人身份证复印件和被授权人身份证复印件</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本次比选成交人确定办法采用经评审有效的</w:t>
      </w:r>
      <w:r>
        <w:rPr>
          <w:rFonts w:hint="eastAsia" w:ascii="方正仿宋_GBK" w:hAnsi="方正仿宋_GBK" w:eastAsia="方正仿宋_GBK" w:cs="方正仿宋_GBK"/>
          <w:color w:val="000000"/>
          <w:kern w:val="0"/>
          <w:sz w:val="28"/>
          <w:szCs w:val="28"/>
          <w:lang w:val="en-US" w:eastAsia="zh-CN"/>
        </w:rPr>
        <w:t>综合评估法</w:t>
      </w: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pStyle w:val="2"/>
        <w:keepNext w:val="0"/>
        <w:keepLines w:val="0"/>
        <w:pageBreakBefore w:val="0"/>
        <w:kinsoku/>
        <w:wordWrap/>
        <w:overflowPunct/>
        <w:topLinePunct w:val="0"/>
        <w:autoSpaceDE/>
        <w:autoSpaceDN/>
        <w:bidi w:val="0"/>
        <w:spacing w:before="0" w:after="0" w:line="560" w:lineRule="exact"/>
        <w:ind w:firstLine="560" w:firstLineChars="200"/>
        <w:jc w:val="both"/>
        <w:textAlignment w:val="auto"/>
        <w:rPr>
          <w:rFonts w:hint="default" w:eastAsia="方正仿宋_GBK"/>
          <w:shd w:val="clear" w:color="auto" w:fill="auto"/>
          <w:lang w:val="en-US" w:eastAsia="zh-CN"/>
        </w:rPr>
      </w:pPr>
      <w:r>
        <w:rPr>
          <w:rFonts w:hint="eastAsia" w:ascii="方正仿宋_GBK" w:hAnsi="方正仿宋_GBK" w:eastAsia="方正仿宋_GBK" w:cs="方正仿宋_GBK"/>
          <w:bCs/>
          <w:color w:val="000000"/>
          <w:sz w:val="28"/>
          <w:szCs w:val="28"/>
          <w:shd w:val="clear" w:color="auto" w:fill="auto"/>
          <w:lang w:val="en-US" w:eastAsia="zh-CN"/>
        </w:rPr>
        <w:t>3.1</w:t>
      </w:r>
      <w:r>
        <w:rPr>
          <w:rFonts w:hint="eastAsia" w:ascii="方正仿宋_GBK" w:hAnsi="方正仿宋_GBK" w:eastAsia="方正仿宋_GBK" w:cs="方正仿宋_GBK"/>
          <w:bCs/>
          <w:color w:val="FF0000"/>
          <w:sz w:val="28"/>
          <w:szCs w:val="28"/>
          <w:shd w:val="clear" w:color="auto" w:fill="auto"/>
          <w:lang w:val="en-US" w:eastAsia="zh-CN"/>
        </w:rPr>
        <w:t>评分标准</w:t>
      </w:r>
    </w:p>
    <w:tbl>
      <w:tblPr>
        <w:tblStyle w:val="68"/>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lang w:val="en-US" w:eastAsia="zh-CN"/>
              </w:rPr>
              <w:t>60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u w:val="single"/>
                <w:lang w:val="en-US" w:eastAsia="zh-CN"/>
              </w:rPr>
              <w:t>20</w:t>
            </w:r>
            <w:r>
              <w:rPr>
                <w:rFonts w:hint="eastAsia" w:ascii="宋体" w:hAnsi="宋体"/>
                <w:color w:val="000000"/>
                <w:sz w:val="24"/>
              </w:rPr>
              <w:t>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color w:val="000000"/>
                <w:sz w:val="24"/>
                <w:u w:val="single"/>
              </w:rPr>
            </w:pPr>
            <w:r>
              <w:rPr>
                <w:rFonts w:hint="eastAsia" w:ascii="宋体" w:hAnsi="宋体"/>
                <w:color w:val="000000"/>
                <w:sz w:val="24"/>
                <w:lang w:eastAsia="zh-CN"/>
              </w:rPr>
              <w:t>商务部分：</w:t>
            </w:r>
            <w:r>
              <w:rPr>
                <w:rFonts w:hint="eastAsia" w:ascii="宋体" w:hAnsi="宋体"/>
                <w:color w:val="000000"/>
                <w:sz w:val="24"/>
                <w:u w:val="single"/>
                <w:lang w:val="en-US" w:eastAsia="zh-CN"/>
              </w:rPr>
              <w:t>20</w:t>
            </w:r>
            <w:r>
              <w:rPr>
                <w:rFonts w:hint="eastAsia" w:ascii="宋体" w:hAnsi="宋体"/>
                <w:color w:val="00000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lang w:eastAsia="zh-CN"/>
              </w:rPr>
            </w:pPr>
            <w:r>
              <w:rPr>
                <w:rFonts w:hint="eastAsia" w:ascii="仿宋_GB2312" w:hAnsi="仿宋_GB2312" w:cs="仿宋_GB2312"/>
                <w:color w:val="000000"/>
                <w:sz w:val="24"/>
              </w:rPr>
              <w:t>经济</w:t>
            </w:r>
            <w:r>
              <w:rPr>
                <w:rFonts w:hint="eastAsia" w:ascii="仿宋_GB2312" w:hAnsi="仿宋_GB2312" w:cs="仿宋_GB2312"/>
                <w:color w:val="000000"/>
                <w:sz w:val="24"/>
                <w:lang w:eastAsia="zh-CN"/>
              </w:rPr>
              <w:t>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60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outlineLvl w:val="9"/>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人公布的控制价以内的所有经初步评审合格的投标人的报价中去掉其中（有效报价不足六家（含）报价则不去掉）的最高价和最低价后进行算术平均，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lang w:val="en-US" w:eastAsia="zh-CN"/>
              </w:rPr>
              <w:t>60</w:t>
            </w:r>
            <w:r>
              <w:rPr>
                <w:rFonts w:ascii="仿宋_GB2312" w:hAnsi="仿宋_GB2312" w:cs="仿宋_GB2312"/>
                <w:color w:val="000000"/>
                <w:sz w:val="24"/>
              </w:rPr>
              <w:t>分；除</w:t>
            </w:r>
            <w:r>
              <w:rPr>
                <w:rFonts w:hint="eastAsia" w:ascii="仿宋_GB2312" w:hAnsi="仿宋_GB2312" w:cs="仿宋_GB2312"/>
                <w:color w:val="000000"/>
                <w:sz w:val="24"/>
                <w:lang w:val="en-US" w:eastAsia="zh-CN"/>
              </w:rPr>
              <w:t>60</w:t>
            </w:r>
            <w:r>
              <w:rPr>
                <w:rFonts w:ascii="仿宋_GB2312" w:hAnsi="仿宋_GB2312" w:cs="仿宋_GB2312"/>
                <w:color w:val="000000"/>
                <w:sz w:val="24"/>
              </w:rPr>
              <w:t>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w:t>
            </w:r>
            <w:r>
              <w:rPr>
                <w:rFonts w:hint="eastAsia" w:ascii="仿宋_GB2312" w:hAnsi="仿宋_GB2312" w:cs="仿宋_GB2312"/>
                <w:color w:val="000000"/>
                <w:sz w:val="24"/>
                <w:lang w:val="en-US" w:eastAsia="zh-CN"/>
              </w:rPr>
              <w:t>60</w:t>
            </w:r>
            <w:r>
              <w:rPr>
                <w:rFonts w:hint="eastAsia" w:ascii="仿宋_GB2312" w:hAnsi="仿宋_GB2312" w:cs="仿宋_GB2312"/>
                <w:color w:val="000000"/>
                <w:sz w:val="24"/>
              </w:rPr>
              <w:t>分扣完为止。</w:t>
            </w:r>
            <w:r>
              <w:rPr>
                <w:rFonts w:ascii="仿宋_GB2312" w:hAnsi="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outlineLvl w:val="9"/>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lang w:val="en-US" w:eastAsia="zh-CN"/>
              </w:rPr>
              <w:t>60</w:t>
            </w:r>
            <w:r>
              <w:rPr>
                <w:rFonts w:hint="eastAsia" w:ascii="仿宋_GB2312" w:hAnsi="仿宋_GB2312" w:cs="仿宋_GB2312"/>
                <w:snapToGrid w:val="0"/>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技术部分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outlineLvl w:val="9"/>
              <w:rPr>
                <w:rFonts w:hint="eastAsia" w:ascii="仿宋_GB2312" w:hAnsi="仿宋_GB2312" w:cs="仿宋_GB2312"/>
                <w:bCs/>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984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人总得分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综合得分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=技术部分得分+</w:t>
            </w: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部分得分</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报价得分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FF0000"/>
                <w:sz w:val="24"/>
              </w:rPr>
              <w:t>综合得分前三名的</w:t>
            </w:r>
            <w:r>
              <w:rPr>
                <w:rFonts w:hint="eastAsia" w:ascii="仿宋_GB2312" w:hAnsi="仿宋_GB2312" w:cs="仿宋_GB2312"/>
                <w:color w:val="FF0000"/>
                <w:sz w:val="24"/>
                <w:lang w:eastAsia="zh-CN"/>
              </w:rPr>
              <w:t>比选响应</w:t>
            </w:r>
            <w:r>
              <w:rPr>
                <w:rFonts w:hint="eastAsia" w:ascii="仿宋_GB2312" w:hAnsi="仿宋_GB2312" w:cs="仿宋_GB2312"/>
                <w:color w:val="FF0000"/>
                <w:sz w:val="24"/>
              </w:rPr>
              <w:t>人为</w:t>
            </w:r>
            <w:r>
              <w:rPr>
                <w:rFonts w:hint="eastAsia" w:ascii="仿宋_GB2312" w:hAnsi="仿宋_GB2312" w:cs="仿宋_GB2312"/>
                <w:color w:val="FF0000"/>
                <w:sz w:val="24"/>
                <w:lang w:eastAsia="zh-CN"/>
              </w:rPr>
              <w:t>成交</w:t>
            </w:r>
            <w:r>
              <w:rPr>
                <w:rFonts w:hint="eastAsia" w:ascii="仿宋_GB2312" w:hAnsi="仿宋_GB2312" w:cs="仿宋_GB2312"/>
                <w:color w:val="FF0000"/>
                <w:sz w:val="24"/>
              </w:rPr>
              <w:t>候选人</w:t>
            </w:r>
          </w:p>
        </w:tc>
      </w:tr>
    </w:tbl>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w:t>
      </w:r>
      <w:r>
        <w:rPr>
          <w:rFonts w:hint="eastAsia" w:ascii="仿宋_GB2312" w:hAnsi="仿宋_GB2312" w:cs="仿宋_GB2312"/>
          <w:b/>
          <w:color w:val="000000"/>
          <w:sz w:val="24"/>
          <w:lang w:val="en-US" w:eastAsia="zh-CN"/>
        </w:rPr>
        <w:t>40</w:t>
      </w:r>
      <w:r>
        <w:rPr>
          <w:rFonts w:hint="eastAsia" w:ascii="仿宋_GB2312" w:hAnsi="仿宋_GB2312" w:cs="仿宋_GB2312"/>
          <w:b/>
          <w:color w:val="000000"/>
          <w:sz w:val="24"/>
        </w:rPr>
        <w:t>分）</w:t>
      </w:r>
      <w:r>
        <w:rPr>
          <w:rFonts w:hint="eastAsia" w:ascii="仿宋_GB2312" w:hAnsi="仿宋_GB2312" w:cs="仿宋_GB2312"/>
          <w:b/>
          <w:color w:val="000000"/>
          <w:sz w:val="24"/>
        </w:rPr>
        <w:tab/>
      </w:r>
    </w:p>
    <w:tbl>
      <w:tblPr>
        <w:tblStyle w:val="68"/>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top"/>
          </w:tcPr>
          <w:p>
            <w:pPr>
              <w:snapToGrid w:val="0"/>
              <w:spacing w:line="500" w:lineRule="exact"/>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snapToGrid w:val="0"/>
              <w:spacing w:line="500" w:lineRule="exact"/>
              <w:ind w:firstLine="480"/>
              <w:rPr>
                <w:rFonts w:hint="eastAsia"/>
                <w:sz w:val="24"/>
                <w:szCs w:val="24"/>
              </w:rPr>
            </w:pPr>
          </w:p>
          <w:p>
            <w:pPr>
              <w:snapToGrid w:val="0"/>
              <w:spacing w:line="500" w:lineRule="exact"/>
              <w:ind w:firstLine="480"/>
              <w:rPr>
                <w:rFonts w:hint="eastAsia"/>
                <w:sz w:val="24"/>
                <w:szCs w:val="24"/>
              </w:rPr>
            </w:pPr>
          </w:p>
          <w:p>
            <w:pPr>
              <w:snapToGrid w:val="0"/>
              <w:spacing w:line="500" w:lineRule="exact"/>
              <w:ind w:firstLine="480"/>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rPr>
            </w:pPr>
            <w:r>
              <w:rPr>
                <w:rFonts w:hint="eastAsia"/>
                <w:sz w:val="24"/>
                <w:szCs w:val="24"/>
              </w:rPr>
              <w:t>技</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rPr>
            </w:pPr>
            <w:r>
              <w:rPr>
                <w:rFonts w:hint="eastAsia"/>
                <w:sz w:val="24"/>
                <w:szCs w:val="24"/>
              </w:rPr>
              <w:t>术</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部</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分</w:t>
            </w:r>
          </w:p>
          <w:p>
            <w:pPr>
              <w:pStyle w:val="2"/>
              <w:keepNext w:val="0"/>
              <w:keepLines w:val="0"/>
              <w:pageBreakBefore w:val="0"/>
              <w:widowControl w:val="0"/>
              <w:kinsoku/>
              <w:wordWrap/>
              <w:overflowPunct/>
              <w:topLinePunct w:val="0"/>
              <w:autoSpaceDE/>
              <w:autoSpaceDN/>
              <w:bidi w:val="0"/>
              <w:adjustRightInd/>
              <w:ind w:firstLine="0"/>
              <w:jc w:val="center"/>
              <w:textAlignment w:val="auto"/>
              <w:rPr>
                <w:rFonts w:hint="eastAsia"/>
                <w:sz w:val="24"/>
                <w:szCs w:val="24"/>
                <w:lang w:eastAsia="zh-CN"/>
              </w:rPr>
            </w:pPr>
            <w:r>
              <w:rPr>
                <w:rFonts w:hint="eastAsia" w:ascii="仿宋_GB2312" w:hAnsi="仿宋_GB2312" w:cs="仿宋_GB2312"/>
                <w:b w:val="0"/>
                <w:bCs w:val="0"/>
                <w:color w:val="000000"/>
                <w:sz w:val="24"/>
                <w:szCs w:val="24"/>
                <w:highlight w:val="none"/>
                <w:lang w:eastAsia="zh-CN"/>
              </w:rPr>
              <w:t>（</w:t>
            </w:r>
            <w:r>
              <w:rPr>
                <w:rFonts w:hint="eastAsia" w:ascii="仿宋_GB2312" w:hAnsi="仿宋_GB2312" w:cs="仿宋_GB2312"/>
                <w:b w:val="0"/>
                <w:bCs w:val="0"/>
                <w:color w:val="000000"/>
                <w:sz w:val="24"/>
                <w:szCs w:val="24"/>
                <w:highlight w:val="none"/>
                <w:lang w:val="en-US" w:eastAsia="zh-CN"/>
              </w:rPr>
              <w:t>20分</w:t>
            </w:r>
            <w:r>
              <w:rPr>
                <w:rFonts w:hint="eastAsia" w:ascii="仿宋_GB2312" w:hAnsi="仿宋_GB2312" w:cs="仿宋_GB2312"/>
                <w:b w:val="0"/>
                <w:bCs w:val="0"/>
                <w:color w:val="000000"/>
                <w:sz w:val="24"/>
                <w:szCs w:val="24"/>
                <w:highlight w:val="none"/>
                <w:lang w:eastAsia="zh-CN"/>
              </w:rPr>
              <w:t>）</w:t>
            </w:r>
          </w:p>
        </w:tc>
        <w:tc>
          <w:tcPr>
            <w:tcW w:w="1605" w:type="dxa"/>
            <w:vAlign w:val="center"/>
          </w:tcPr>
          <w:p>
            <w:pPr>
              <w:snapToGrid w:val="0"/>
              <w:spacing w:line="500" w:lineRule="exact"/>
              <w:ind w:firstLine="0" w:firstLineChars="0"/>
              <w:rPr>
                <w:rFonts w:hint="eastAsia" w:ascii="仿宋_GB2312" w:hAnsi="仿宋_GB2312" w:cs="仿宋_GB2312"/>
                <w:color w:val="000000"/>
                <w:sz w:val="24"/>
                <w:szCs w:val="24"/>
                <w:highlight w:val="yellow"/>
              </w:rPr>
            </w:pPr>
            <w:r>
              <w:rPr>
                <w:rFonts w:hint="eastAsia"/>
                <w:sz w:val="24"/>
                <w:szCs w:val="24"/>
                <w:lang w:val="en-US" w:eastAsia="zh-CN"/>
              </w:rPr>
              <w:t>2.1</w:t>
            </w:r>
            <w:r>
              <w:rPr>
                <w:rFonts w:hint="eastAsia"/>
                <w:sz w:val="24"/>
                <w:szCs w:val="24"/>
                <w:lang w:eastAsia="zh-CN"/>
              </w:rPr>
              <w:t>项目实施总方案</w:t>
            </w:r>
          </w:p>
        </w:tc>
        <w:tc>
          <w:tcPr>
            <w:tcW w:w="403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cs="仿宋_GB2312"/>
                <w:bCs/>
                <w:sz w:val="24"/>
                <w:szCs w:val="24"/>
              </w:rPr>
            </w:pPr>
            <w:r>
              <w:rPr>
                <w:rFonts w:hint="eastAsia"/>
                <w:sz w:val="24"/>
                <w:szCs w:val="24"/>
                <w:lang w:eastAsia="zh-CN"/>
              </w:rPr>
              <w:t>项目实施总方案（进度计划、组织保障、运行管理、服务方式及响应时间等）在科学、合理、可行等方面考察，优秀得</w:t>
            </w:r>
            <w:r>
              <w:rPr>
                <w:rFonts w:hint="eastAsia"/>
                <w:sz w:val="24"/>
                <w:szCs w:val="24"/>
                <w:lang w:val="en-US" w:eastAsia="zh-CN"/>
              </w:rPr>
              <w:t>2-3</w:t>
            </w:r>
            <w:r>
              <w:rPr>
                <w:rFonts w:hint="eastAsia"/>
                <w:sz w:val="24"/>
                <w:szCs w:val="24"/>
                <w:lang w:eastAsia="zh-CN"/>
              </w:rPr>
              <w:t>分，一般得</w:t>
            </w:r>
            <w:r>
              <w:rPr>
                <w:rFonts w:hint="eastAsia"/>
                <w:sz w:val="24"/>
                <w:szCs w:val="24"/>
                <w:lang w:val="en-US" w:eastAsia="zh-CN"/>
              </w:rPr>
              <w:t>1-2</w:t>
            </w:r>
            <w:r>
              <w:rPr>
                <w:rFonts w:hint="eastAsia"/>
                <w:sz w:val="24"/>
                <w:szCs w:val="24"/>
                <w:lang w:eastAsia="zh-CN"/>
              </w:rPr>
              <w:t>分，差或未响应得0分。</w:t>
            </w:r>
          </w:p>
        </w:tc>
        <w:tc>
          <w:tcPr>
            <w:tcW w:w="1066" w:type="dxa"/>
            <w:vAlign w:val="center"/>
          </w:tcPr>
          <w:p>
            <w:pPr>
              <w:snapToGrid w:val="0"/>
              <w:ind w:right="-67" w:rightChars="-32"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3</w:t>
            </w:r>
            <w:r>
              <w:rPr>
                <w:rFonts w:hint="eastAsia" w:ascii="仿宋_GB2312" w:hAnsi="仿宋_GB2312" w:cs="仿宋_GB2312"/>
                <w:bCs/>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szCs w:val="24"/>
                <w:lang w:eastAsia="zh-CN"/>
              </w:rPr>
            </w:pPr>
            <w:r>
              <w:rPr>
                <w:rFonts w:hint="eastAsia" w:ascii="仿宋_GB2312" w:hAnsi="仿宋_GB2312" w:cs="仿宋_GB2312"/>
                <w:color w:val="000000"/>
                <w:sz w:val="24"/>
                <w:szCs w:val="24"/>
                <w:lang w:eastAsia="zh-CN"/>
              </w:rPr>
              <w:t>提供项目实施方案</w:t>
            </w:r>
          </w:p>
          <w:p>
            <w:pPr>
              <w:snapToGrid w:val="0"/>
              <w:spacing w:line="500" w:lineRule="exact"/>
              <w:ind w:firstLine="0" w:firstLineChars="0"/>
              <w:rPr>
                <w:rFonts w:hint="eastAsia" w:ascii="仿宋_GB2312" w:hAnsi="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sz w:val="24"/>
                <w:szCs w:val="24"/>
                <w:lang w:val="en-US" w:eastAsia="zh-CN"/>
              </w:rPr>
              <w:t>2.2</w:t>
            </w:r>
            <w:r>
              <w:rPr>
                <w:rFonts w:hint="eastAsia" w:ascii="仿宋_GB2312" w:hAnsi="仿宋_GB2312" w:cs="仿宋_GB2312"/>
                <w:sz w:val="24"/>
                <w:szCs w:val="24"/>
              </w:rPr>
              <w:t>健康档案管理及检后服务方案</w:t>
            </w:r>
          </w:p>
        </w:tc>
        <w:tc>
          <w:tcPr>
            <w:tcW w:w="4034" w:type="dxa"/>
            <w:vAlign w:val="top"/>
          </w:tcPr>
          <w:p>
            <w:pPr>
              <w:snapToGrid w:val="0"/>
              <w:spacing w:line="500" w:lineRule="exact"/>
              <w:rPr>
                <w:rFonts w:hint="eastAsia" w:ascii="仿宋_GB2312" w:hAnsi="仿宋_GB2312" w:cs="仿宋_GB2312"/>
                <w:color w:val="000000"/>
                <w:sz w:val="24"/>
                <w:szCs w:val="24"/>
              </w:rPr>
            </w:pP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cs="仿宋_GB2312"/>
                <w:sz w:val="24"/>
                <w:szCs w:val="24"/>
                <w:lang w:eastAsia="zh-CN"/>
              </w:rPr>
              <w:t>）</w:t>
            </w:r>
            <w:r>
              <w:rPr>
                <w:rFonts w:hint="eastAsia" w:ascii="仿宋_GB2312" w:hAnsi="仿宋_GB2312" w:cs="仿宋_GB2312"/>
                <w:color w:val="000000"/>
                <w:sz w:val="24"/>
                <w:szCs w:val="24"/>
              </w:rPr>
              <w:t>健康档案管理及检后服务方案全面、具体、合理得（</w:t>
            </w:r>
            <w:r>
              <w:rPr>
                <w:rFonts w:hint="eastAsia"/>
                <w:sz w:val="24"/>
                <w:szCs w:val="24"/>
                <w:lang w:val="en-US" w:eastAsia="zh-CN"/>
              </w:rPr>
              <w:t>2-3</w:t>
            </w:r>
            <w:r>
              <w:rPr>
                <w:rFonts w:hint="eastAsia" w:ascii="仿宋_GB2312" w:hAnsi="仿宋_GB2312" w:cs="仿宋_GB2312"/>
                <w:color w:val="000000"/>
                <w:sz w:val="24"/>
                <w:szCs w:val="24"/>
              </w:rPr>
              <w:t>）分</w:t>
            </w:r>
          </w:p>
          <w:p>
            <w:pPr>
              <w:snapToGrid w:val="0"/>
              <w:spacing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2</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健康档案管理及检后服务方案基本合理但不全面得（</w:t>
            </w:r>
            <w:r>
              <w:rPr>
                <w:rFonts w:hint="eastAsia"/>
                <w:sz w:val="24"/>
                <w:szCs w:val="24"/>
                <w:lang w:val="en-US" w:eastAsia="zh-CN"/>
              </w:rPr>
              <w:t>1-2</w:t>
            </w:r>
            <w:r>
              <w:rPr>
                <w:rFonts w:hint="eastAsia" w:ascii="仿宋_GB2312" w:hAnsi="仿宋_GB2312" w:cs="仿宋_GB2312"/>
                <w:color w:val="000000"/>
                <w:sz w:val="24"/>
                <w:szCs w:val="24"/>
              </w:rPr>
              <w:t>）分</w:t>
            </w:r>
          </w:p>
          <w:p>
            <w:pPr>
              <w:snapToGrid w:val="0"/>
              <w:spacing w:line="500" w:lineRule="exact"/>
              <w:rPr>
                <w:rFonts w:hint="eastAsia" w:ascii="仿宋_GB2312" w:hAnsi="仿宋_GB2312" w:cs="仿宋_GB2312"/>
                <w:bCs/>
                <w:color w:val="000000"/>
                <w:sz w:val="24"/>
                <w:szCs w:val="24"/>
                <w:lang w:val="en-US" w:eastAsia="zh-CN"/>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健康档案管理及检后服务方案不够合理，操作性不强得（</w:t>
            </w:r>
            <w:r>
              <w:rPr>
                <w:rFonts w:hint="eastAsia"/>
                <w:sz w:val="24"/>
                <w:szCs w:val="24"/>
                <w:lang w:val="en-US" w:eastAsia="zh-CN"/>
              </w:rPr>
              <w:t>0</w:t>
            </w:r>
            <w:r>
              <w:rPr>
                <w:rFonts w:hint="eastAsia" w:ascii="仿宋_GB2312" w:hAnsi="仿宋_GB2312" w:cs="仿宋_GB2312"/>
                <w:color w:val="000000"/>
                <w:sz w:val="24"/>
                <w:szCs w:val="24"/>
              </w:rPr>
              <w:t>）分</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lang w:val="en-US" w:eastAsia="zh-CN"/>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3</w:t>
            </w:r>
            <w:r>
              <w:rPr>
                <w:rFonts w:hint="eastAsia" w:ascii="仿宋_GB2312" w:hAnsi="仿宋_GB2312" w:cs="仿宋_GB2312"/>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szCs w:val="24"/>
                <w:lang w:eastAsia="zh-CN"/>
              </w:rPr>
            </w:pPr>
            <w:r>
              <w:rPr>
                <w:rFonts w:hint="eastAsia" w:ascii="仿宋_GB2312" w:hAnsi="仿宋_GB2312" w:cs="仿宋_GB2312"/>
                <w:color w:val="000000"/>
                <w:sz w:val="24"/>
                <w:szCs w:val="24"/>
              </w:rPr>
              <w:t>提供</w:t>
            </w:r>
            <w:r>
              <w:rPr>
                <w:rFonts w:hint="eastAsia" w:ascii="仿宋_GB2312" w:hAnsi="仿宋_GB2312" w:cs="仿宋_GB2312"/>
                <w:color w:val="000000"/>
                <w:sz w:val="24"/>
                <w:szCs w:val="24"/>
                <w:lang w:eastAsia="zh-CN"/>
              </w:rPr>
              <w:t>服务</w:t>
            </w:r>
            <w:r>
              <w:rPr>
                <w:rFonts w:hint="eastAsia" w:ascii="仿宋_GB2312" w:hAnsi="仿宋_GB2312" w:cs="仿宋_GB2312"/>
                <w:color w:val="000000"/>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2.3体检服务要求</w:t>
            </w:r>
          </w:p>
        </w:tc>
        <w:tc>
          <w:tcPr>
            <w:tcW w:w="4034" w:type="dxa"/>
            <w:vAlign w:val="top"/>
          </w:tcPr>
          <w:p>
            <w:pPr>
              <w:pStyle w:val="2"/>
              <w:keepNext w:val="0"/>
              <w:keepLines w:val="0"/>
              <w:pageBreakBefore w:val="0"/>
              <w:widowControl w:val="0"/>
              <w:numPr>
                <w:ilvl w:val="0"/>
                <w:numId w:val="0"/>
              </w:numPr>
              <w:kinsoku/>
              <w:wordWrap/>
              <w:overflowPunct/>
              <w:topLinePunct w:val="0"/>
              <w:autoSpaceDE/>
              <w:autoSpaceDN/>
              <w:bidi w:val="0"/>
              <w:adjustRightInd w:val="0"/>
              <w:spacing w:line="500" w:lineRule="exact"/>
              <w:jc w:val="both"/>
              <w:textAlignment w:val="auto"/>
              <w:rPr>
                <w:rFonts w:hint="default"/>
                <w:b w:val="0"/>
                <w:bCs w:val="0"/>
                <w:sz w:val="24"/>
                <w:szCs w:val="24"/>
                <w:lang w:val="en-US" w:eastAsia="zh-CN"/>
              </w:rPr>
            </w:pPr>
            <w:r>
              <w:rPr>
                <w:rFonts w:hint="default"/>
                <w:b w:val="0"/>
                <w:bCs w:val="0"/>
                <w:sz w:val="24"/>
                <w:szCs w:val="24"/>
                <w:lang w:val="en-US" w:eastAsia="zh-CN"/>
              </w:rPr>
              <w:t>（1）比选文件1.2.1.4条款体检服务要求中带*号条款必须满足，不允许负偏离；带*号条款若有1条负偏离此项技术条款14分全部扣除，得0分；</w:t>
            </w:r>
          </w:p>
          <w:p>
            <w:pPr>
              <w:pStyle w:val="2"/>
              <w:keepNext w:val="0"/>
              <w:keepLines w:val="0"/>
              <w:pageBreakBefore w:val="0"/>
              <w:widowControl w:val="0"/>
              <w:numPr>
                <w:ilvl w:val="0"/>
                <w:numId w:val="0"/>
              </w:numPr>
              <w:kinsoku/>
              <w:wordWrap/>
              <w:overflowPunct/>
              <w:topLinePunct w:val="0"/>
              <w:autoSpaceDE/>
              <w:autoSpaceDN/>
              <w:bidi w:val="0"/>
              <w:adjustRightInd w:val="0"/>
              <w:spacing w:line="500" w:lineRule="exact"/>
              <w:jc w:val="both"/>
              <w:textAlignment w:val="auto"/>
              <w:rPr>
                <w:rFonts w:hint="default"/>
                <w:b w:val="0"/>
                <w:bCs w:val="0"/>
                <w:sz w:val="24"/>
                <w:szCs w:val="24"/>
                <w:lang w:val="en-US" w:eastAsia="zh-CN"/>
              </w:rPr>
            </w:pPr>
            <w:r>
              <w:rPr>
                <w:rFonts w:hint="default"/>
                <w:b w:val="0"/>
                <w:bCs w:val="0"/>
                <w:sz w:val="24"/>
                <w:szCs w:val="24"/>
                <w:lang w:val="en-US" w:eastAsia="zh-CN"/>
              </w:rPr>
              <w:t>（2）在满足带*号条款无负偏离的基础上，1.2.1.4条款中每1条应答无负偏离可得2分，7条共14分。</w:t>
            </w:r>
          </w:p>
        </w:tc>
        <w:tc>
          <w:tcPr>
            <w:tcW w:w="1066" w:type="dxa"/>
            <w:vAlign w:val="top"/>
          </w:tcPr>
          <w:p>
            <w:pPr>
              <w:snapToGrid w:val="0"/>
              <w:spacing w:line="500" w:lineRule="exact"/>
              <w:ind w:firstLine="0" w:firstLineChars="0"/>
              <w:jc w:val="center"/>
              <w:rPr>
                <w:rFonts w:hint="default" w:ascii="仿宋_GB2312" w:hAnsi="仿宋_GB2312" w:eastAsia="宋体" w:cs="仿宋_GB2312"/>
                <w:color w:val="000000"/>
                <w:sz w:val="24"/>
                <w:szCs w:val="24"/>
                <w:lang w:val="en-US" w:eastAsia="zh-CN"/>
              </w:rPr>
            </w:pPr>
            <w:r>
              <w:rPr>
                <w:rFonts w:hint="eastAsia" w:ascii="仿宋_GB2312" w:hAnsi="仿宋_GB2312" w:cs="仿宋_GB2312"/>
                <w:color w:val="000000"/>
                <w:sz w:val="24"/>
                <w:szCs w:val="24"/>
                <w:lang w:val="en-US" w:eastAsia="zh-CN"/>
              </w:rPr>
              <w:t>0-14分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自</w:t>
            </w:r>
            <w:r>
              <w:rPr>
                <w:rFonts w:hint="eastAsia"/>
                <w:sz w:val="24"/>
                <w:szCs w:val="24"/>
                <w:lang w:val="en-US" w:eastAsia="zh-CN"/>
              </w:rPr>
              <w:t>制响应偏离表，</w:t>
            </w:r>
            <w:r>
              <w:rPr>
                <w:rFonts w:hint="eastAsia" w:ascii="仿宋_GB2312" w:hAnsi="仿宋_GB2312" w:cs="仿宋_GB2312"/>
                <w:color w:val="000000"/>
                <w:sz w:val="24"/>
                <w:szCs w:val="24"/>
                <w:lang w:eastAsia="zh-CN"/>
              </w:rPr>
              <w:t>请按照</w:t>
            </w:r>
            <w:r>
              <w:rPr>
                <w:rFonts w:hint="eastAsia"/>
                <w:sz w:val="24"/>
                <w:szCs w:val="24"/>
                <w:lang w:val="en-US" w:eastAsia="zh-CN"/>
              </w:rPr>
              <w:t>比选文件1.2.1.4条款体检服务要求各子项要求提供资料。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bidi w:val="0"/>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val="en-US" w:eastAsia="zh-CN"/>
              </w:rPr>
            </w:pPr>
            <w:r>
              <w:rPr>
                <w:rFonts w:hint="eastAsia"/>
                <w:sz w:val="24"/>
                <w:szCs w:val="24"/>
                <w:lang w:val="en-US" w:eastAsia="zh-CN"/>
              </w:rPr>
              <w:t>商</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default"/>
                <w:sz w:val="24"/>
                <w:szCs w:val="24"/>
                <w:lang w:val="en-US" w:eastAsia="zh-CN"/>
              </w:rPr>
            </w:pPr>
            <w:r>
              <w:rPr>
                <w:rFonts w:hint="eastAsia"/>
                <w:sz w:val="24"/>
                <w:szCs w:val="24"/>
                <w:lang w:val="en-US" w:eastAsia="zh-CN"/>
              </w:rPr>
              <w:t>务</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部</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分</w:t>
            </w:r>
          </w:p>
          <w:p>
            <w:pPr>
              <w:bidi w:val="0"/>
              <w:ind w:left="240" w:hanging="240" w:hangingChars="100"/>
              <w:jc w:val="left"/>
              <w:rPr>
                <w:rFonts w:hint="eastAsia" w:ascii="仿宋_GB2312" w:hAnsi="仿宋_GB2312" w:cs="仿宋_GB2312"/>
                <w:color w:val="000000"/>
                <w:sz w:val="24"/>
                <w:szCs w:val="24"/>
                <w:highlight w:val="none"/>
                <w:lang w:eastAsia="zh-CN"/>
              </w:rPr>
            </w:pPr>
          </w:p>
          <w:p>
            <w:pPr>
              <w:bidi w:val="0"/>
              <w:ind w:left="240" w:hanging="240" w:hangingChars="100"/>
              <w:jc w:val="left"/>
              <w:rPr>
                <w:rFonts w:hint="default"/>
                <w:sz w:val="24"/>
                <w:szCs w:val="24"/>
                <w:lang w:val="en-US" w:eastAsia="zh-CN"/>
              </w:rPr>
            </w:pPr>
            <w:r>
              <w:rPr>
                <w:rFonts w:hint="eastAsia" w:ascii="仿宋_GB2312" w:hAnsi="仿宋_GB2312" w:cs="仿宋_GB2312"/>
                <w:color w:val="000000"/>
                <w:sz w:val="24"/>
                <w:szCs w:val="24"/>
                <w:highlight w:val="none"/>
                <w:lang w:eastAsia="zh-CN"/>
              </w:rPr>
              <w:t>（</w:t>
            </w:r>
            <w:r>
              <w:rPr>
                <w:rFonts w:hint="eastAsia" w:ascii="仿宋_GB2312" w:hAnsi="仿宋_GB2312" w:cs="仿宋_GB2312"/>
                <w:color w:val="000000"/>
                <w:sz w:val="24"/>
                <w:szCs w:val="24"/>
                <w:highlight w:val="none"/>
                <w:lang w:val="en-US" w:eastAsia="zh-CN"/>
              </w:rPr>
              <w:t>20分</w:t>
            </w:r>
            <w:r>
              <w:rPr>
                <w:rFonts w:hint="eastAsia" w:ascii="仿宋_GB2312" w:hAnsi="仿宋_GB2312" w:cs="仿宋_GB2312"/>
                <w:color w:val="000000"/>
                <w:sz w:val="24"/>
                <w:szCs w:val="24"/>
                <w:highlight w:val="none"/>
                <w:lang w:eastAsia="zh-CN"/>
              </w:rPr>
              <w:t>）</w:t>
            </w:r>
          </w:p>
        </w:tc>
        <w:tc>
          <w:tcPr>
            <w:tcW w:w="1605" w:type="dxa"/>
            <w:vAlign w:val="top"/>
          </w:tcPr>
          <w:p>
            <w:pPr>
              <w:snapToGrid w:val="0"/>
              <w:spacing w:line="500" w:lineRule="exact"/>
              <w:ind w:firstLine="0" w:firstLineChars="0"/>
              <w:rPr>
                <w:rFonts w:hint="eastAsia" w:ascii="仿宋_GB2312" w:hAnsi="仿宋_GB2312" w:eastAsia="宋体"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3.1专场服务</w:t>
            </w:r>
          </w:p>
        </w:tc>
        <w:tc>
          <w:tcPr>
            <w:tcW w:w="4034" w:type="dxa"/>
            <w:vAlign w:val="top"/>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outlineLvl w:val="9"/>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为采购人提供</w:t>
            </w:r>
            <w:r>
              <w:rPr>
                <w:rFonts w:hint="eastAsia"/>
                <w:color w:val="000000" w:themeColor="text1"/>
                <w:sz w:val="24"/>
                <w:szCs w:val="24"/>
                <w:highlight w:val="none"/>
                <w:lang w:val="en-US" w:eastAsia="zh-CN"/>
                <w14:textFill>
                  <w14:solidFill>
                    <w14:schemeClr w14:val="tx1"/>
                  </w14:solidFill>
                </w14:textFill>
              </w:rPr>
              <w:t>1个月（14:00—17:30）的</w:t>
            </w:r>
            <w:r>
              <w:rPr>
                <w:rFonts w:hint="eastAsia"/>
                <w:color w:val="000000" w:themeColor="text1"/>
                <w:sz w:val="24"/>
                <w:szCs w:val="24"/>
                <w:highlight w:val="none"/>
                <w:lang w:eastAsia="zh-CN"/>
                <w14:textFill>
                  <w14:solidFill>
                    <w14:schemeClr w14:val="tx1"/>
                  </w14:solidFill>
                </w14:textFill>
              </w:rPr>
              <w:t>专场服务，不再安排其他大单位，提供</w:t>
            </w:r>
            <w:r>
              <w:rPr>
                <w:rFonts w:hint="eastAsia"/>
                <w:color w:val="000000" w:themeColor="text1"/>
                <w:sz w:val="24"/>
                <w:szCs w:val="24"/>
                <w:highlight w:val="none"/>
                <w:lang w:val="en-US" w:eastAsia="zh-CN"/>
                <w14:textFill>
                  <w14:solidFill>
                    <w14:schemeClr w14:val="tx1"/>
                  </w14:solidFill>
                </w14:textFill>
              </w:rPr>
              <w:t>该</w:t>
            </w:r>
            <w:r>
              <w:rPr>
                <w:rFonts w:hint="eastAsia"/>
                <w:color w:val="000000" w:themeColor="text1"/>
                <w:sz w:val="24"/>
                <w:szCs w:val="24"/>
                <w:highlight w:val="none"/>
                <w:lang w:eastAsia="zh-CN"/>
                <w14:textFill>
                  <w14:solidFill>
                    <w14:schemeClr w14:val="tx1"/>
                  </w14:solidFill>
                </w14:textFill>
              </w:rPr>
              <w:t>专场服务的得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分，未提供</w:t>
            </w:r>
            <w:r>
              <w:rPr>
                <w:rFonts w:hint="eastAsia"/>
                <w:color w:val="000000" w:themeColor="text1"/>
                <w:sz w:val="24"/>
                <w:szCs w:val="24"/>
                <w:highlight w:val="none"/>
                <w:lang w:val="en-US" w:eastAsia="zh-CN"/>
                <w14:textFill>
                  <w14:solidFill>
                    <w14:schemeClr w14:val="tx1"/>
                  </w14:solidFill>
                </w14:textFill>
              </w:rPr>
              <w:t>该</w:t>
            </w:r>
            <w:r>
              <w:rPr>
                <w:rFonts w:hint="eastAsia"/>
                <w:color w:val="000000" w:themeColor="text1"/>
                <w:sz w:val="24"/>
                <w:szCs w:val="24"/>
                <w:highlight w:val="none"/>
                <w:lang w:eastAsia="zh-CN"/>
                <w14:textFill>
                  <w14:solidFill>
                    <w14:schemeClr w14:val="tx1"/>
                  </w14:solidFill>
                </w14:textFill>
              </w:rPr>
              <w:t>专场服务的不得分。</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4</w:t>
            </w:r>
            <w:r>
              <w:rPr>
                <w:rFonts w:hint="eastAsia" w:ascii="仿宋_GB2312" w:hAnsi="仿宋_GB2312" w:cs="仿宋_GB2312"/>
                <w:bCs/>
                <w:color w:val="000000"/>
                <w:sz w:val="24"/>
                <w:szCs w:val="24"/>
              </w:rPr>
              <w:t>分</w:t>
            </w:r>
          </w:p>
          <w:p>
            <w:pPr>
              <w:snapToGrid w:val="0"/>
              <w:spacing w:line="500" w:lineRule="exact"/>
              <w:ind w:firstLine="480"/>
              <w:rPr>
                <w:rFonts w:hint="eastAsia" w:ascii="仿宋_GB2312" w:hAnsi="仿宋_GB2312" w:cs="仿宋_GB2312"/>
                <w:bCs/>
                <w:color w:val="000000"/>
                <w:sz w:val="24"/>
                <w:szCs w:val="24"/>
              </w:rPr>
            </w:pPr>
          </w:p>
        </w:tc>
        <w:tc>
          <w:tcPr>
            <w:tcW w:w="1830" w:type="dxa"/>
            <w:vAlign w:val="top"/>
          </w:tcPr>
          <w:p>
            <w:pPr>
              <w:snapToGrid w:val="0"/>
              <w:spacing w:line="500" w:lineRule="exact"/>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szCs w:val="24"/>
                <w:lang w:eastAsia="zh-CN"/>
              </w:rPr>
            </w:pP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szCs w:val="24"/>
                <w:lang w:val="en-US" w:eastAsia="zh-CN"/>
              </w:rPr>
            </w:pPr>
            <w:r>
              <w:rPr>
                <w:rFonts w:hint="eastAsia" w:ascii="仿宋_GB2312" w:hAnsi="仿宋_GB2312" w:cs="仿宋_GB2312"/>
                <w:color w:val="000000"/>
                <w:sz w:val="24"/>
                <w:szCs w:val="24"/>
                <w:lang w:val="en-US" w:eastAsia="zh-CN"/>
              </w:rPr>
              <w:t>3.2设备要求</w:t>
            </w:r>
          </w:p>
        </w:tc>
        <w:tc>
          <w:tcPr>
            <w:tcW w:w="4034" w:type="dxa"/>
            <w:vAlign w:val="top"/>
          </w:tcPr>
          <w:p>
            <w:pPr>
              <w:snapToGrid w:val="0"/>
              <w:spacing w:line="500" w:lineRule="exact"/>
              <w:jc w:val="left"/>
              <w:rPr>
                <w:rFonts w:hint="eastAsia"/>
                <w:sz w:val="24"/>
                <w:szCs w:val="24"/>
                <w:lang w:eastAsia="zh-CN"/>
              </w:rPr>
            </w:pPr>
            <w:r>
              <w:rPr>
                <w:rFonts w:hint="eastAsia"/>
                <w:sz w:val="24"/>
                <w:szCs w:val="24"/>
                <w:highlight w:val="none"/>
                <w:lang w:eastAsia="zh-CN"/>
              </w:rPr>
              <w:t>拟投入本项目的彩色多普勒超声诊断仪等主要仪器设备有国家年审合格证书或有效证明文书。证书齐全合格有效的，得</w:t>
            </w:r>
            <w:r>
              <w:rPr>
                <w:rFonts w:hint="eastAsia"/>
                <w:sz w:val="24"/>
                <w:szCs w:val="24"/>
                <w:highlight w:val="none"/>
                <w:lang w:val="en-US" w:eastAsia="zh-CN"/>
              </w:rPr>
              <w:t>8</w:t>
            </w:r>
            <w:r>
              <w:rPr>
                <w:rFonts w:hint="eastAsia"/>
                <w:sz w:val="24"/>
                <w:szCs w:val="24"/>
                <w:highlight w:val="none"/>
                <w:lang w:eastAsia="zh-CN"/>
              </w:rPr>
              <w:t>分，缺上述设备年检合格证的，不得分。</w:t>
            </w:r>
          </w:p>
        </w:tc>
        <w:tc>
          <w:tcPr>
            <w:tcW w:w="1066" w:type="dxa"/>
            <w:vAlign w:val="top"/>
          </w:tcPr>
          <w:p>
            <w:pPr>
              <w:snapToGrid w:val="0"/>
              <w:spacing w:line="5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0-</w:t>
            </w: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分</w:t>
            </w:r>
          </w:p>
        </w:tc>
        <w:tc>
          <w:tcPr>
            <w:tcW w:w="1830" w:type="dxa"/>
            <w:vAlign w:val="top"/>
          </w:tcPr>
          <w:p>
            <w:pPr>
              <w:snapToGrid w:val="0"/>
              <w:spacing w:line="500" w:lineRule="exact"/>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rPr>
            </w:pPr>
          </w:p>
        </w:tc>
        <w:tc>
          <w:tcPr>
            <w:tcW w:w="1605" w:type="dxa"/>
            <w:vMerge w:val="restart"/>
            <w:vAlign w:val="top"/>
          </w:tcPr>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3.3</w:t>
            </w:r>
            <w:r>
              <w:rPr>
                <w:rFonts w:hint="eastAsia" w:ascii="仿宋_GB2312" w:hAnsi="仿宋_GB2312" w:cs="仿宋_GB2312"/>
                <w:color w:val="000000"/>
                <w:sz w:val="24"/>
                <w:szCs w:val="24"/>
              </w:rPr>
              <w:t>交通</w:t>
            </w:r>
          </w:p>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color w:val="000000"/>
                <w:sz w:val="24"/>
                <w:szCs w:val="24"/>
              </w:rPr>
              <w:t>便利性</w:t>
            </w:r>
          </w:p>
        </w:tc>
        <w:tc>
          <w:tcPr>
            <w:tcW w:w="4034" w:type="dxa"/>
            <w:vAlign w:val="top"/>
          </w:tcPr>
          <w:p>
            <w:pPr>
              <w:snapToGrid w:val="0"/>
              <w:spacing w:line="500" w:lineRule="exact"/>
              <w:jc w:val="left"/>
              <w:rPr>
                <w:rFonts w:hint="eastAsia"/>
                <w:sz w:val="24"/>
                <w:szCs w:val="24"/>
                <w:lang w:eastAsia="zh-CN"/>
              </w:rPr>
            </w:pPr>
            <w:r>
              <w:rPr>
                <w:rFonts w:hint="eastAsia"/>
                <w:sz w:val="24"/>
                <w:szCs w:val="24"/>
                <w:lang w:eastAsia="zh-CN"/>
              </w:rPr>
              <w:t>行车距离在10km以内的得</w:t>
            </w:r>
            <w:r>
              <w:rPr>
                <w:rFonts w:hint="eastAsia"/>
                <w:sz w:val="24"/>
                <w:szCs w:val="24"/>
                <w:lang w:val="en-US" w:eastAsia="zh-CN"/>
              </w:rPr>
              <w:t>6</w:t>
            </w:r>
            <w:r>
              <w:rPr>
                <w:rFonts w:hint="eastAsia"/>
                <w:sz w:val="24"/>
                <w:szCs w:val="24"/>
                <w:lang w:eastAsia="zh-CN"/>
              </w:rPr>
              <w:t>分，</w:t>
            </w:r>
          </w:p>
          <w:p>
            <w:pPr>
              <w:snapToGrid w:val="0"/>
              <w:spacing w:line="500" w:lineRule="exact"/>
              <w:jc w:val="left"/>
              <w:rPr>
                <w:rFonts w:hint="eastAsia"/>
                <w:sz w:val="24"/>
                <w:szCs w:val="24"/>
                <w:lang w:eastAsia="zh-CN"/>
              </w:rPr>
            </w:pPr>
            <w:r>
              <w:rPr>
                <w:rFonts w:hint="eastAsia"/>
                <w:sz w:val="24"/>
                <w:szCs w:val="24"/>
                <w:lang w:eastAsia="zh-CN"/>
              </w:rPr>
              <w:t>1</w:t>
            </w:r>
            <w:r>
              <w:rPr>
                <w:rFonts w:hint="eastAsia"/>
                <w:sz w:val="24"/>
                <w:szCs w:val="24"/>
                <w:lang w:val="en-US" w:eastAsia="zh-CN"/>
              </w:rPr>
              <w:t>5</w:t>
            </w:r>
            <w:r>
              <w:rPr>
                <w:rFonts w:hint="eastAsia"/>
                <w:sz w:val="24"/>
                <w:szCs w:val="24"/>
                <w:lang w:eastAsia="zh-CN"/>
              </w:rPr>
              <w:t>km得</w:t>
            </w:r>
            <w:r>
              <w:rPr>
                <w:rFonts w:hint="eastAsia"/>
                <w:sz w:val="24"/>
                <w:szCs w:val="24"/>
                <w:lang w:val="en-US" w:eastAsia="zh-CN"/>
              </w:rPr>
              <w:t>5</w:t>
            </w:r>
            <w:r>
              <w:rPr>
                <w:rFonts w:hint="eastAsia"/>
                <w:sz w:val="24"/>
                <w:szCs w:val="24"/>
                <w:lang w:eastAsia="zh-CN"/>
              </w:rPr>
              <w:t>分，每增加</w:t>
            </w:r>
            <w:r>
              <w:rPr>
                <w:rFonts w:hint="eastAsia"/>
                <w:sz w:val="24"/>
                <w:szCs w:val="24"/>
                <w:lang w:val="en-US" w:eastAsia="zh-CN"/>
              </w:rPr>
              <w:t>5</w:t>
            </w:r>
            <w:r>
              <w:rPr>
                <w:rFonts w:hint="eastAsia"/>
                <w:sz w:val="24"/>
                <w:szCs w:val="24"/>
                <w:lang w:eastAsia="zh-CN"/>
              </w:rPr>
              <w:t>km扣一分，以此类推，直到</w:t>
            </w:r>
            <w:r>
              <w:rPr>
                <w:rFonts w:hint="eastAsia"/>
                <w:sz w:val="24"/>
                <w:szCs w:val="24"/>
                <w:lang w:val="en-US" w:eastAsia="zh-CN"/>
              </w:rPr>
              <w:t>6</w:t>
            </w:r>
            <w:r>
              <w:rPr>
                <w:rFonts w:hint="eastAsia"/>
                <w:sz w:val="24"/>
                <w:szCs w:val="24"/>
                <w:lang w:eastAsia="zh-CN"/>
              </w:rPr>
              <w:t>分扣完为止。</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6</w:t>
            </w:r>
            <w:r>
              <w:rPr>
                <w:rFonts w:hint="eastAsia" w:ascii="仿宋_GB2312" w:hAnsi="仿宋_GB2312" w:cs="仿宋_GB2312"/>
                <w:bCs/>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bCs/>
                <w:color w:val="000000"/>
                <w:sz w:val="24"/>
                <w:szCs w:val="24"/>
              </w:rPr>
            </w:pPr>
            <w:r>
              <w:rPr>
                <w:rFonts w:hint="eastAsia" w:ascii="仿宋_GB2312" w:hAnsi="仿宋_GB2312" w:cs="仿宋_GB2312"/>
                <w:bCs/>
                <w:sz w:val="24"/>
                <w:szCs w:val="24"/>
              </w:rPr>
              <w:t>体</w:t>
            </w:r>
            <w:r>
              <w:rPr>
                <w:rFonts w:hint="eastAsia"/>
                <w:sz w:val="24"/>
                <w:szCs w:val="24"/>
                <w:lang w:eastAsia="zh-CN"/>
              </w:rPr>
              <w:t>检医院到重庆机场集团办公楼的百度/腾讯/高德地图行车距离截图证明文件，单位km。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035" w:type="dxa"/>
            <w:vMerge w:val="continue"/>
            <w:vAlign w:val="top"/>
          </w:tcPr>
          <w:p>
            <w:pPr>
              <w:snapToGrid w:val="0"/>
              <w:spacing w:line="500" w:lineRule="exact"/>
              <w:ind w:firstLine="480" w:firstLineChars="0"/>
              <w:rPr>
                <w:rFonts w:hint="default" w:ascii="仿宋_GB2312" w:hAnsi="仿宋_GB2312" w:eastAsia="宋体" w:cs="仿宋_GB2312"/>
                <w:color w:val="000000"/>
                <w:sz w:val="24"/>
                <w:szCs w:val="24"/>
                <w:lang w:val="en-US" w:eastAsia="zh-CN"/>
              </w:rPr>
            </w:pPr>
          </w:p>
        </w:tc>
        <w:tc>
          <w:tcPr>
            <w:tcW w:w="1605" w:type="dxa"/>
            <w:vMerge w:val="continue"/>
            <w:vAlign w:val="top"/>
          </w:tcPr>
          <w:p>
            <w:pPr>
              <w:snapToGrid w:val="0"/>
              <w:spacing w:line="500" w:lineRule="exact"/>
              <w:ind w:firstLine="480"/>
              <w:rPr>
                <w:rFonts w:hint="eastAsia" w:ascii="仿宋_GB2312" w:hAnsi="仿宋_GB2312" w:cs="仿宋_GB2312"/>
                <w:color w:val="000000"/>
                <w:sz w:val="24"/>
                <w:szCs w:val="24"/>
              </w:rPr>
            </w:pPr>
          </w:p>
        </w:tc>
        <w:tc>
          <w:tcPr>
            <w:tcW w:w="4034" w:type="dxa"/>
            <w:vAlign w:val="top"/>
          </w:tcPr>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米内)有公交和轨道站能到达体检医院的，得2分。</w:t>
            </w:r>
          </w:p>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米内)只有公交或</w:t>
            </w:r>
            <w:r>
              <w:rPr>
                <w:rFonts w:hint="eastAsia" w:ascii="Times New Roman" w:hAnsi="Times New Roman" w:cs="Times New Roman"/>
                <w:b w:val="0"/>
                <w:bCs w:val="0"/>
                <w:kern w:val="2"/>
                <w:sz w:val="24"/>
                <w:szCs w:val="24"/>
                <w:lang w:val="en-US" w:eastAsia="zh-CN" w:bidi="ar-SA"/>
              </w:rPr>
              <w:t>只有</w:t>
            </w:r>
            <w:r>
              <w:rPr>
                <w:rFonts w:hint="eastAsia" w:ascii="Times New Roman" w:hAnsi="Times New Roman" w:eastAsia="宋体" w:cs="Times New Roman"/>
                <w:b w:val="0"/>
                <w:bCs w:val="0"/>
                <w:kern w:val="2"/>
                <w:sz w:val="24"/>
                <w:szCs w:val="24"/>
                <w:lang w:val="en-US" w:eastAsia="zh-CN" w:bidi="ar-SA"/>
              </w:rPr>
              <w:t>轨道能到达体检医院的，得1分。</w:t>
            </w:r>
          </w:p>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default" w:eastAsia="宋体"/>
                <w:sz w:val="24"/>
                <w:szCs w:val="24"/>
                <w:lang w:val="en-US" w:eastAsia="zh-CN"/>
              </w:rPr>
            </w:pPr>
            <w:r>
              <w:rPr>
                <w:rFonts w:hint="eastAsia" w:ascii="Times New Roman" w:hAnsi="Times New Roman" w:eastAsia="宋体" w:cs="Times New Roman"/>
                <w:b w:val="0"/>
                <w:bCs w:val="0"/>
                <w:kern w:val="2"/>
                <w:sz w:val="24"/>
                <w:szCs w:val="24"/>
                <w:lang w:val="en-US" w:eastAsia="zh-CN" w:bidi="ar-SA"/>
              </w:rPr>
              <w:t>（3）体检医院附近(路程1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米内)无公交或轨道能到达体检医院的，不得分。</w:t>
            </w:r>
          </w:p>
        </w:tc>
        <w:tc>
          <w:tcPr>
            <w:tcW w:w="1066" w:type="dxa"/>
            <w:vAlign w:val="top"/>
          </w:tcPr>
          <w:p>
            <w:pPr>
              <w:snapToGrid w:val="0"/>
              <w:spacing w:line="5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themeColor="text1"/>
                <w:sz w:val="24"/>
                <w:szCs w:val="24"/>
                <w14:textFill>
                  <w14:solidFill>
                    <w14:schemeClr w14:val="tx1"/>
                  </w14:solidFill>
                </w14:textFill>
              </w:rPr>
              <w:t>0-</w:t>
            </w:r>
            <w:r>
              <w:rPr>
                <w:rFonts w:hint="eastAsia" w:ascii="仿宋_GB2312" w:hAnsi="仿宋_GB2312" w:cs="仿宋_GB2312"/>
                <w:color w:val="000000" w:themeColor="text1"/>
                <w:sz w:val="24"/>
                <w:szCs w:val="24"/>
                <w:lang w:val="en-US" w:eastAsia="zh-CN"/>
                <w14:textFill>
                  <w14:solidFill>
                    <w14:schemeClr w14:val="tx1"/>
                  </w14:solidFill>
                </w14:textFill>
              </w:rPr>
              <w:t>2</w:t>
            </w:r>
            <w:r>
              <w:rPr>
                <w:rFonts w:hint="eastAsia" w:ascii="仿宋_GB2312" w:hAnsi="仿宋_GB2312" w:cs="仿宋_GB2312"/>
                <w:color w:val="000000" w:themeColor="text1"/>
                <w:sz w:val="24"/>
                <w:szCs w:val="24"/>
                <w14:textFill>
                  <w14:solidFill>
                    <w14:schemeClr w14:val="tx1"/>
                  </w14:solidFill>
                </w14:textFill>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体检医院到附近公交、轨道</w:t>
            </w:r>
            <w:r>
              <w:rPr>
                <w:rFonts w:hint="eastAsia"/>
                <w:sz w:val="24"/>
                <w:szCs w:val="24"/>
                <w:lang w:eastAsia="zh-CN"/>
              </w:rPr>
              <w:t>的百度/腾讯/高德地图距离截图证明文件。</w:t>
            </w:r>
          </w:p>
        </w:tc>
      </w:tr>
    </w:tbl>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3.2</w:t>
      </w:r>
      <w:r>
        <w:rPr>
          <w:rFonts w:hint="eastAsia" w:ascii="方正仿宋_GBK" w:hAnsi="方正仿宋_GBK" w:eastAsia="方正仿宋_GBK" w:cs="方正仿宋_GBK"/>
          <w:color w:val="000000"/>
          <w:kern w:val="0"/>
          <w:sz w:val="28"/>
          <w:szCs w:val="28"/>
        </w:rPr>
        <w:t>完全满足</w:t>
      </w:r>
      <w:r>
        <w:rPr>
          <w:rFonts w:hint="eastAsia" w:ascii="方正仿宋_GBK" w:hAnsi="方正仿宋_GBK" w:eastAsia="方正仿宋_GBK" w:cs="方正仿宋_GBK"/>
          <w:color w:val="000000"/>
          <w:kern w:val="0"/>
          <w:sz w:val="28"/>
          <w:szCs w:val="28"/>
          <w:lang w:eastAsia="zh-CN"/>
        </w:rPr>
        <w:t>采购</w:t>
      </w:r>
      <w:r>
        <w:rPr>
          <w:rFonts w:hint="eastAsia" w:ascii="方正仿宋_GBK" w:hAnsi="方正仿宋_GBK" w:eastAsia="方正仿宋_GBK" w:cs="方正仿宋_GBK"/>
          <w:color w:val="000000"/>
          <w:kern w:val="0"/>
          <w:sz w:val="28"/>
          <w:szCs w:val="28"/>
        </w:rPr>
        <w:t>文件要求，实质性响应大于或等于三家的，根据符合采购需求、质量和服务，最终以得分最高者确定为成交候选人。</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r>
        <w:rPr>
          <w:rFonts w:hint="eastAsia" w:ascii="方正仿宋_GBK" w:hAnsi="方正仿宋_GBK" w:eastAsia="方正仿宋_GBK" w:cs="方正仿宋_GBK"/>
          <w:color w:val="000000"/>
          <w:kern w:val="0"/>
          <w:sz w:val="28"/>
          <w:szCs w:val="28"/>
          <w:lang w:val="en-US" w:eastAsia="zh-CN"/>
        </w:rPr>
        <w:t>,</w:t>
      </w:r>
      <w:r>
        <w:rPr>
          <w:rFonts w:hint="eastAsia" w:ascii="方正仿宋_GBK" w:hAnsi="方正仿宋_GBK" w:eastAsia="方正仿宋_GBK" w:cs="方正仿宋_GBK"/>
          <w:color w:val="000000"/>
          <w:kern w:val="0"/>
          <w:sz w:val="28"/>
          <w:szCs w:val="28"/>
        </w:rPr>
        <w:t>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p>
    <w:p>
      <w:pPr>
        <w:keepNext w:val="0"/>
        <w:keepLines w:val="0"/>
        <w:pageBreakBefore w:val="0"/>
        <w:widowControl/>
        <w:kinsoku/>
        <w:wordWrap/>
        <w:overflowPunct/>
        <w:topLinePunct w:val="0"/>
        <w:bidi w:val="0"/>
        <w:spacing w:line="560" w:lineRule="exact"/>
        <w:ind w:firstLine="560" w:firstLineChars="200"/>
        <w:jc w:val="left"/>
        <w:rPr>
          <w:rFonts w:hint="eastAsia"/>
          <w:lang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 xml:space="preserve"> 项目重新比选时，经评审有有效比选响应人的，应当按规定程序，根据符合采购需求、质量和服务，最终以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FF0000"/>
          <w:sz w:val="28"/>
          <w:szCs w:val="28"/>
          <w:u w:val="single"/>
        </w:rPr>
        <w:t>20</w:t>
      </w:r>
      <w:r>
        <w:rPr>
          <w:rFonts w:ascii="方正仿宋_GBK" w:hAnsi="方正仿宋_GBK" w:eastAsia="方正仿宋_GBK" w:cs="方正仿宋_GBK"/>
          <w:color w:val="FF0000"/>
          <w:sz w:val="28"/>
          <w:szCs w:val="28"/>
          <w:u w:val="single"/>
        </w:rPr>
        <w:t>20</w:t>
      </w:r>
      <w:r>
        <w:rPr>
          <w:rFonts w:hint="eastAsia" w:ascii="方正仿宋_GBK" w:hAnsi="方正仿宋_GBK" w:eastAsia="方正仿宋_GBK" w:cs="方正仿宋_GBK"/>
          <w:color w:val="FF0000"/>
          <w:sz w:val="28"/>
          <w:szCs w:val="28"/>
          <w:u w:val="single"/>
        </w:rPr>
        <w:t>年</w:t>
      </w:r>
      <w:r>
        <w:rPr>
          <w:rFonts w:hint="eastAsia" w:ascii="方正仿宋_GBK" w:hAnsi="方正仿宋_GBK" w:eastAsia="方正仿宋_GBK" w:cs="方正仿宋_GBK"/>
          <w:color w:val="FF0000"/>
          <w:sz w:val="28"/>
          <w:szCs w:val="28"/>
          <w:u w:val="single"/>
          <w:lang w:val="en-US" w:eastAsia="zh-CN"/>
        </w:rPr>
        <w:t>10</w:t>
      </w:r>
      <w:r>
        <w:rPr>
          <w:rFonts w:hint="eastAsia" w:ascii="方正仿宋_GBK" w:hAnsi="方正仿宋_GBK" w:eastAsia="方正仿宋_GBK" w:cs="方正仿宋_GBK"/>
          <w:color w:val="FF0000"/>
          <w:sz w:val="28"/>
          <w:szCs w:val="28"/>
          <w:u w:val="single"/>
        </w:rPr>
        <w:t>月</w:t>
      </w:r>
      <w:r>
        <w:rPr>
          <w:rFonts w:hint="eastAsia" w:ascii="方正仿宋_GBK" w:hAnsi="方正仿宋_GBK" w:eastAsia="方正仿宋_GBK" w:cs="方正仿宋_GBK"/>
          <w:color w:val="FF0000"/>
          <w:sz w:val="28"/>
          <w:szCs w:val="28"/>
          <w:u w:val="single"/>
          <w:lang w:val="en-US" w:eastAsia="zh-CN"/>
        </w:rPr>
        <w:t>21</w:t>
      </w:r>
      <w:r>
        <w:rPr>
          <w:rFonts w:hint="eastAsia" w:ascii="方正仿宋_GBK" w:hAnsi="方正仿宋_GBK" w:eastAsia="方正仿宋_GBK" w:cs="方正仿宋_GBK"/>
          <w:color w:val="FF0000"/>
          <w:sz w:val="28"/>
          <w:szCs w:val="28"/>
          <w:u w:val="single"/>
        </w:rPr>
        <w:t>日</w:t>
      </w:r>
      <w:r>
        <w:rPr>
          <w:rFonts w:hint="eastAsia" w:ascii="方正仿宋_GBK" w:hAnsi="方正仿宋_GBK" w:eastAsia="方正仿宋_GBK" w:cs="方正仿宋_GBK"/>
          <w:color w:val="auto"/>
          <w:sz w:val="28"/>
          <w:szCs w:val="28"/>
          <w:u w:val="none"/>
        </w:rPr>
        <w:t>在</w:t>
      </w:r>
      <w:r>
        <w:rPr>
          <w:rFonts w:hint="eastAsia" w:ascii="方正仿宋_GBK" w:hAnsi="方正仿宋_GBK" w:eastAsia="方正仿宋_GBK" w:cs="方正仿宋_GBK"/>
          <w:color w:val="000000"/>
          <w:sz w:val="28"/>
          <w:szCs w:val="28"/>
        </w:rPr>
        <w:t>重庆机场集团有限公司官网上</w:t>
      </w:r>
      <w:r>
        <w:rPr>
          <w:rFonts w:ascii="方正仿宋_GBK" w:hAnsi="方正仿宋_GBK" w:eastAsia="方正仿宋_GBK" w:cs="方正仿宋_GBK"/>
          <w:color w:val="000000"/>
          <w:sz w:val="28"/>
          <w:szCs w:val="28"/>
        </w:rPr>
        <w:t>发布</w:t>
      </w:r>
      <w:r>
        <w:rPr>
          <w:rFonts w:hint="eastAsia" w:ascii="方正仿宋_GBK" w:hAnsi="方正仿宋_GBK" w:eastAsia="方正仿宋_GBK" w:cs="方正仿宋_GBK"/>
          <w:color w:val="000000"/>
          <w:sz w:val="28"/>
          <w:szCs w:val="28"/>
        </w:rPr>
        <w:t>。</w:t>
      </w:r>
    </w:p>
    <w:p>
      <w:pPr>
        <w:keepNext w:val="0"/>
        <w:keepLines w:val="0"/>
        <w:pageBreakBefore w:val="0"/>
        <w:kinsoku/>
        <w:wordWrap/>
        <w:overflowPunct/>
        <w:topLinePunct w:val="0"/>
        <w:bidi w:val="0"/>
        <w:snapToGrid w:val="0"/>
        <w:spacing w:line="560" w:lineRule="exact"/>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项目比选响应保证金：金额为人民币</w:t>
      </w:r>
      <w:r>
        <w:rPr>
          <w:rFonts w:hint="eastAsia" w:ascii="方正仿宋_GBK" w:hAnsi="方正仿宋_GBK" w:eastAsia="方正仿宋_GBK" w:cs="方正仿宋_GBK"/>
          <w:kern w:val="0"/>
          <w:sz w:val="28"/>
          <w:szCs w:val="28"/>
          <w:u w:val="single"/>
        </w:rPr>
        <w:t xml:space="preserve"> 壹万 </w:t>
      </w:r>
      <w:r>
        <w:rPr>
          <w:rFonts w:hint="eastAsia" w:ascii="方正仿宋_GBK" w:hAnsi="方正仿宋_GBK" w:eastAsia="方正仿宋_GBK" w:cs="方正仿宋_GBK"/>
          <w:color w:val="000000"/>
          <w:kern w:val="0"/>
          <w:sz w:val="28"/>
          <w:szCs w:val="28"/>
        </w:rPr>
        <w:t>元整。</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w:t>
      </w:r>
      <w:r>
        <w:rPr>
          <w:rFonts w:hint="eastAsia" w:ascii="方正仿宋_GBK" w:hAnsi="方正仿宋_GBK" w:eastAsia="方正仿宋_GBK" w:cs="方正仿宋_GBK"/>
          <w:color w:val="000000"/>
          <w:kern w:val="0"/>
          <w:sz w:val="28"/>
          <w:szCs w:val="28"/>
          <w:lang w:val="en-US" w:eastAsia="zh-CN"/>
        </w:rPr>
        <w:t>5010室</w:t>
      </w:r>
      <w:r>
        <w:rPr>
          <w:rFonts w:hint="eastAsia" w:ascii="方正仿宋_GBK" w:hAnsi="方正仿宋_GBK" w:eastAsia="方正仿宋_GBK" w:cs="方正仿宋_GBK"/>
          <w:color w:val="000000"/>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开户银行：建设银行渝北机场支行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w:t>
      </w:r>
      <w:r>
        <w:rPr>
          <w:rFonts w:hint="eastAsia" w:ascii="方正仿宋_GBK" w:hAnsi="方正仿宋_GBK" w:eastAsia="方正仿宋_GBK" w:cs="方正仿宋_GBK"/>
          <w:color w:val="000000"/>
          <w:kern w:val="0"/>
          <w:sz w:val="28"/>
          <w:szCs w:val="28"/>
          <w:lang w:eastAsia="zh-CN"/>
        </w:rPr>
        <w:t>采购方</w:t>
      </w:r>
      <w:r>
        <w:rPr>
          <w:rFonts w:hint="eastAsia" w:ascii="方正仿宋_GBK" w:hAnsi="方正仿宋_GBK" w:eastAsia="方正仿宋_GBK" w:cs="方正仿宋_GBK"/>
          <w:color w:val="000000"/>
          <w:kern w:val="0"/>
          <w:sz w:val="28"/>
          <w:szCs w:val="28"/>
        </w:rPr>
        <w:t>机场建设部，</w:t>
      </w:r>
      <w:r>
        <w:rPr>
          <w:rFonts w:hint="eastAsia" w:ascii="方正仿宋_GBK" w:hAnsi="方正仿宋_GBK" w:eastAsia="方正仿宋_GBK" w:cs="方正仿宋_GBK"/>
          <w:color w:val="000000"/>
          <w:kern w:val="0"/>
          <w:sz w:val="28"/>
          <w:szCs w:val="28"/>
          <w:lang w:eastAsia="zh-CN"/>
        </w:rPr>
        <w:t>采购方</w:t>
      </w:r>
      <w:r>
        <w:rPr>
          <w:rFonts w:hint="eastAsia" w:ascii="方正仿宋_GBK" w:hAnsi="方正仿宋_GBK" w:eastAsia="方正仿宋_GBK" w:cs="方正仿宋_GBK"/>
          <w:color w:val="000000"/>
          <w:kern w:val="0"/>
          <w:sz w:val="28"/>
          <w:szCs w:val="28"/>
        </w:rPr>
        <w:t>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履约保证金为成交金额的5%，在收到成交通知书10日内缴纳，于履约结束后，一次性退还（不计利息）。</w:t>
      </w:r>
    </w:p>
    <w:p>
      <w:pPr>
        <w:keepNext w:val="0"/>
        <w:keepLines w:val="0"/>
        <w:pageBreakBefore w:val="0"/>
        <w:kinsoku/>
        <w:wordWrap/>
        <w:overflowPunct/>
        <w:topLinePunct w:val="0"/>
        <w:bidi w:val="0"/>
        <w:spacing w:line="560" w:lineRule="exact"/>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六、支付方式</w:t>
      </w:r>
    </w:p>
    <w:p>
      <w:pPr>
        <w:keepNext w:val="0"/>
        <w:keepLines w:val="0"/>
        <w:pageBreakBefore w:val="0"/>
        <w:kinsoku/>
        <w:wordWrap/>
        <w:overflowPunct/>
        <w:topLinePunct w:val="0"/>
        <w:bidi w:val="0"/>
        <w:spacing w:line="560" w:lineRule="exact"/>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6.1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年度体检完成，根据实际体检人数和对应的体检项目价格结算，</w:t>
      </w:r>
      <w:r>
        <w:rPr>
          <w:rFonts w:hint="eastAsia" w:ascii="方正仿宋_GBK" w:hAnsi="方正仿宋_GBK" w:eastAsia="方正仿宋_GBK" w:cs="方正仿宋_GBK"/>
          <w:color w:val="000000" w:themeColor="text1"/>
          <w:sz w:val="28"/>
          <w:szCs w:val="28"/>
          <w14:textFill>
            <w14:solidFill>
              <w14:schemeClr w14:val="tx1"/>
            </w14:solidFill>
          </w14:textFill>
        </w:rPr>
        <w:t>甲方收到乙方开具的正规发</w:t>
      </w:r>
      <w:r>
        <w:rPr>
          <w:rFonts w:hint="eastAsia" w:ascii="方正仿宋_GBK" w:hAnsi="方正仿宋_GBK" w:eastAsia="方正仿宋_GBK" w:cs="方正仿宋_GBK"/>
          <w:sz w:val="28"/>
          <w:szCs w:val="28"/>
        </w:rPr>
        <w:t>票后20日内付款，乙方开具的发票其收款账户名称必须与合同签署乙方名称一致，否则不予付款</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firstLine="48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b/>
          <w:color w:val="000000" w:themeColor="text1"/>
          <w:sz w:val="28"/>
          <w:szCs w:val="28"/>
          <w14:textFill>
            <w14:solidFill>
              <w14:schemeClr w14:val="tx1"/>
            </w14:solidFill>
          </w14:textFill>
        </w:rPr>
        <w:t>七、</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体检</w:t>
      </w:r>
      <w:r>
        <w:rPr>
          <w:rFonts w:hint="eastAsia" w:ascii="方正仿宋_GBK" w:hAnsi="方正仿宋_GBK" w:eastAsia="方正仿宋_GBK" w:cs="方正仿宋_GBK"/>
          <w:b/>
          <w:color w:val="000000" w:themeColor="text1"/>
          <w:sz w:val="28"/>
          <w:szCs w:val="28"/>
          <w14:textFill>
            <w14:solidFill>
              <w14:schemeClr w14:val="tx1"/>
            </w14:solidFill>
          </w14:textFill>
        </w:rPr>
        <w:t>时间:</w:t>
      </w:r>
      <w:r>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sz w:val="28"/>
          <w:szCs w:val="28"/>
          <w:lang w:val="en-US" w:eastAsia="zh-CN"/>
        </w:rPr>
        <w:t>20年11月-202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0年12月20日</w:t>
      </w:r>
      <w:r>
        <w:rPr>
          <w:rFonts w:hint="eastAsia" w:ascii="方正仿宋_GBK" w:hAnsi="方正仿宋_GBK" w:eastAsia="方正仿宋_GBK" w:cs="方正仿宋_GBK"/>
          <w:b w:val="0"/>
          <w:spacing w:val="0"/>
          <w:w w:val="100"/>
          <w:kern w:val="2"/>
          <w:sz w:val="28"/>
          <w:szCs w:val="28"/>
          <w:lang w:val="en-US" w:eastAsia="zh-CN" w:bidi="ar-SA"/>
        </w:rPr>
        <w:t>。</w:t>
      </w:r>
    </w:p>
    <w:p>
      <w:pPr>
        <w:keepNext w:val="0"/>
        <w:keepLines w:val="0"/>
        <w:pageBreakBefore w:val="0"/>
        <w:kinsoku/>
        <w:wordWrap/>
        <w:overflowPunct/>
        <w:topLinePunct w:val="0"/>
        <w:bidi w:val="0"/>
        <w:spacing w:line="56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color w:val="000000" w:themeColor="text1"/>
          <w:sz w:val="28"/>
          <w:szCs w:val="28"/>
          <w14:textFill>
            <w14:solidFill>
              <w14:schemeClr w14:val="tx1"/>
            </w14:solidFill>
          </w14:textFill>
        </w:rPr>
        <w:t>、比</w:t>
      </w:r>
      <w:r>
        <w:rPr>
          <w:rFonts w:hint="eastAsia" w:ascii="方正仿宋_GBK" w:hAnsi="方正仿宋_GBK" w:eastAsia="方正仿宋_GBK" w:cs="方正仿宋_GBK"/>
          <w:b/>
          <w:color w:val="000000"/>
          <w:sz w:val="28"/>
          <w:szCs w:val="28"/>
        </w:rPr>
        <w:t>选响应有效期</w:t>
      </w:r>
      <w:r>
        <w:rPr>
          <w:rFonts w:hint="eastAsia" w:ascii="方正仿宋_GBK" w:hAnsi="方正仿宋_GBK" w:eastAsia="方正仿宋_GBK" w:cs="方正仿宋_GBK"/>
          <w:b/>
          <w:color w:val="000000"/>
          <w:sz w:val="28"/>
          <w:szCs w:val="28"/>
          <w:lang w:eastAsia="zh-CN"/>
        </w:rPr>
        <w:t>：</w:t>
      </w:r>
      <w:r>
        <w:rPr>
          <w:rFonts w:hint="eastAsia" w:ascii="方正仿宋_GBK" w:hAnsi="方正仿宋_GBK" w:eastAsia="方正仿宋_GBK" w:cs="方正仿宋_GBK"/>
          <w:sz w:val="28"/>
          <w:szCs w:val="28"/>
        </w:rPr>
        <w:t>90天</w:t>
      </w:r>
    </w:p>
    <w:p>
      <w:pPr>
        <w:keepNext w:val="0"/>
        <w:keepLines w:val="0"/>
        <w:pageBreakBefore w:val="0"/>
        <w:kinsoku/>
        <w:wordWrap/>
        <w:overflowPunct/>
        <w:topLinePunct w:val="0"/>
        <w:bidi w:val="0"/>
        <w:spacing w:line="560" w:lineRule="exact"/>
        <w:ind w:firstLine="420" w:firstLineChars="15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、比选响应文件的编制和提交</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.1比选响应方应当按照比选采购文件的要求编制比选响应文件，比选响应文件应当对比选采购文件提出的要求和条件作出实质性应答。</w:t>
      </w:r>
      <w:r>
        <w:rPr>
          <w:rFonts w:hint="eastAsia" w:ascii="方正仿宋_GBK" w:hAnsi="方正仿宋_GBK" w:eastAsia="方正仿宋_GBK" w:cs="方正仿宋_GBK"/>
          <w:color w:val="000000"/>
          <w:sz w:val="28"/>
          <w:szCs w:val="28"/>
          <w:lang w:val="zh-CN"/>
        </w:rPr>
        <w:t>如果提供的材料和服务与比选采购文件要求有偏差，必须详细说明，须经比选小组评定和采购人许可，才能作为供应商实质性响应。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bookmarkStart w:id="0" w:name="_GoBack"/>
      <w:bookmarkEnd w:id="0"/>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rPr>
          <w:rFonts w:hint="default"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报价部分。比选响应方应按照比选采购文件要求报出拟采购项目的单价、总价等详细内容，各项报价应</w:t>
      </w:r>
      <w:r>
        <w:rPr>
          <w:rFonts w:hint="eastAsia"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t>包括完成体检人工费、材料、合理利润及所需的其他一切费用。填写分项报价表按附件附件4的格式。</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.2.4 技术部分。按技术部分要求</w:t>
      </w:r>
      <w:r>
        <w:rPr>
          <w:rFonts w:ascii="方正仿宋_GBK" w:hAnsi="方正仿宋_GBK" w:eastAsia="方正仿宋_GBK" w:cs="方正仿宋_GBK"/>
          <w:color w:val="000000" w:themeColor="text1"/>
          <w:sz w:val="28"/>
          <w:szCs w:val="28"/>
          <w:lang w:val="zh-CN"/>
          <w14:textFill>
            <w14:solidFill>
              <w14:schemeClr w14:val="tx1"/>
            </w14:solidFill>
          </w14:textFill>
        </w:rPr>
        <w:t>提供相关材料</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表格自制)</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商务部分。主要包括三证合一的营业执照（复印件），法</w:t>
      </w:r>
      <w:r>
        <w:rPr>
          <w:rFonts w:hint="eastAsia" w:ascii="方正仿宋_GBK" w:hAnsi="方正仿宋_GBK" w:eastAsia="方正仿宋_GBK" w:cs="方正仿宋_GBK"/>
          <w:color w:val="000000"/>
          <w:sz w:val="28"/>
          <w:szCs w:val="28"/>
          <w:lang w:val="zh-CN"/>
        </w:rPr>
        <w:t>人代表委托书（原件）等。其它资质证明、服务承诺以及商务部分其他要求</w:t>
      </w:r>
      <w:r>
        <w:rPr>
          <w:rFonts w:ascii="方正仿宋_GBK" w:hAnsi="方正仿宋_GBK" w:eastAsia="方正仿宋_GBK" w:cs="方正仿宋_GBK"/>
          <w:color w:val="000000"/>
          <w:sz w:val="28"/>
          <w:szCs w:val="28"/>
          <w:lang w:val="zh-CN"/>
        </w:rPr>
        <w:t>相关材料</w:t>
      </w:r>
      <w:r>
        <w:rPr>
          <w:rFonts w:hint="eastAsia" w:ascii="方正仿宋_GBK" w:hAnsi="方正仿宋_GBK" w:eastAsia="方正仿宋_GBK" w:cs="方正仿宋_GBK"/>
          <w:color w:val="000000"/>
          <w:sz w:val="28"/>
          <w:szCs w:val="28"/>
          <w:lang w:val="zh-CN"/>
        </w:rPr>
        <w:t>。</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2"/>
        <w:ind w:firstLine="560" w:firstLineChars="200"/>
        <w:jc w:val="both"/>
        <w:rPr>
          <w:rFonts w:hint="eastAsia" w:eastAsia="方正仿宋_GBK"/>
          <w:b w:val="0"/>
          <w:bCs w:val="0"/>
          <w:lang w:val="en-US" w:eastAsia="zh-CN"/>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7 比选响应文件提交后，比选响应人不得要求查阅、取回。</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10.4.1 </w:t>
      </w:r>
      <w:r>
        <w:rPr>
          <w:rFonts w:hint="eastAsia" w:ascii="方正仿宋_GBK" w:hAnsi="方正仿宋_GBK" w:eastAsia="方正仿宋_GBK" w:cs="方正仿宋_GBK"/>
          <w:color w:val="000000"/>
          <w:sz w:val="28"/>
          <w:szCs w:val="28"/>
        </w:rPr>
        <w:t>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10.4.2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三</w:t>
      </w:r>
      <w:r>
        <w:rPr>
          <w:rFonts w:hint="eastAsia" w:ascii="方正仿宋_GBK" w:hAnsi="方正仿宋_GBK" w:eastAsia="方正仿宋_GBK" w:cs="方正仿宋_GBK"/>
          <w:b/>
          <w:color w:val="000000"/>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FF0000"/>
          <w:kern w:val="0"/>
          <w:sz w:val="28"/>
          <w:szCs w:val="28"/>
          <w:u w:val="single"/>
        </w:rPr>
        <w:t>20</w:t>
      </w:r>
      <w:r>
        <w:rPr>
          <w:rFonts w:ascii="方正仿宋_GBK" w:hAnsi="方正仿宋_GBK" w:eastAsia="方正仿宋_GBK" w:cs="方正仿宋_GBK"/>
          <w:color w:val="FF0000"/>
          <w:kern w:val="0"/>
          <w:sz w:val="28"/>
          <w:szCs w:val="28"/>
          <w:u w:val="single"/>
        </w:rPr>
        <w:t>20</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10</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30</w:t>
      </w:r>
      <w:r>
        <w:rPr>
          <w:rFonts w:hint="eastAsia" w:ascii="方正仿宋_GBK" w:hAnsi="方正仿宋_GBK" w:eastAsia="方正仿宋_GBK" w:cs="方正仿宋_GBK"/>
          <w:color w:val="FF0000"/>
          <w:kern w:val="0"/>
          <w:sz w:val="28"/>
          <w:szCs w:val="28"/>
          <w:u w:val="single"/>
        </w:rPr>
        <w:t>日</w:t>
      </w:r>
      <w:r>
        <w:rPr>
          <w:rFonts w:ascii="方正仿宋_GBK" w:hAnsi="方正仿宋_GBK" w:eastAsia="方正仿宋_GBK" w:cs="方正仿宋_GBK"/>
          <w:color w:val="FF0000"/>
          <w:kern w:val="0"/>
          <w:sz w:val="28"/>
          <w:szCs w:val="28"/>
          <w:u w:val="single"/>
        </w:rPr>
        <w:t>09:00</w:t>
      </w:r>
      <w:r>
        <w:rPr>
          <w:rFonts w:hint="eastAsia" w:ascii="方正仿宋_GBK" w:hAnsi="方正仿宋_GBK" w:eastAsia="方正仿宋_GBK" w:cs="方正仿宋_GBK"/>
          <w:color w:val="FF0000"/>
          <w:kern w:val="0"/>
          <w:sz w:val="28"/>
          <w:szCs w:val="28"/>
          <w:u w:val="single"/>
        </w:rPr>
        <w:t>至</w:t>
      </w:r>
      <w:r>
        <w:rPr>
          <w:rFonts w:ascii="方正仿宋_GBK" w:hAnsi="方正仿宋_GBK" w:eastAsia="方正仿宋_GBK" w:cs="方正仿宋_GBK"/>
          <w:color w:val="FF0000"/>
          <w:kern w:val="0"/>
          <w:sz w:val="28"/>
          <w:szCs w:val="28"/>
          <w:u w:val="single"/>
        </w:rPr>
        <w:t>10:00</w:t>
      </w:r>
      <w:r>
        <w:rPr>
          <w:rFonts w:hint="eastAsia" w:ascii="方正仿宋_GBK" w:hAnsi="方正仿宋_GBK" w:eastAsia="方正仿宋_GBK" w:cs="方正仿宋_GBK"/>
          <w:kern w:val="0"/>
          <w:sz w:val="28"/>
          <w:szCs w:val="28"/>
        </w:rPr>
        <w:t>时送到重庆机场有限公司办公楼6010室，过期不予受理。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ascii="方正仿宋_GBK" w:hAnsi="方正仿宋_GBK" w:eastAsia="方正仿宋_GBK" w:cs="方正仿宋_GBK"/>
          <w:color w:val="FF0000"/>
          <w:sz w:val="28"/>
          <w:szCs w:val="28"/>
          <w:u w:val="single"/>
        </w:rPr>
        <w:t>2020</w:t>
      </w:r>
      <w:r>
        <w:rPr>
          <w:rFonts w:hint="eastAsia" w:ascii="方正仿宋_GBK" w:hAnsi="方正仿宋_GBK" w:eastAsia="方正仿宋_GBK" w:cs="方正仿宋_GBK"/>
          <w:color w:val="FF0000"/>
          <w:sz w:val="28"/>
          <w:szCs w:val="28"/>
          <w:u w:val="single"/>
        </w:rPr>
        <w:t>年</w:t>
      </w:r>
      <w:r>
        <w:rPr>
          <w:rFonts w:hint="eastAsia" w:ascii="方正仿宋_GBK" w:hAnsi="方正仿宋_GBK" w:eastAsia="方正仿宋_GBK" w:cs="方正仿宋_GBK"/>
          <w:color w:val="FF0000"/>
          <w:sz w:val="28"/>
          <w:szCs w:val="28"/>
          <w:u w:val="single"/>
          <w:lang w:val="en-US" w:eastAsia="zh-CN"/>
        </w:rPr>
        <w:t>10</w:t>
      </w:r>
      <w:r>
        <w:rPr>
          <w:rFonts w:hint="eastAsia" w:ascii="方正仿宋_GBK" w:hAnsi="方正仿宋_GBK" w:eastAsia="方正仿宋_GBK" w:cs="方正仿宋_GBK"/>
          <w:color w:val="FF0000"/>
          <w:sz w:val="28"/>
          <w:szCs w:val="28"/>
          <w:u w:val="single"/>
        </w:rPr>
        <w:t>月</w:t>
      </w:r>
      <w:r>
        <w:rPr>
          <w:rFonts w:hint="eastAsia" w:ascii="方正仿宋_GBK" w:hAnsi="方正仿宋_GBK" w:eastAsia="方正仿宋_GBK" w:cs="方正仿宋_GBK"/>
          <w:color w:val="FF0000"/>
          <w:sz w:val="28"/>
          <w:szCs w:val="28"/>
          <w:u w:val="single"/>
          <w:lang w:val="en-US" w:eastAsia="zh-CN"/>
        </w:rPr>
        <w:t>30</w:t>
      </w:r>
      <w:r>
        <w:rPr>
          <w:rFonts w:hint="eastAsia" w:ascii="方正仿宋_GBK" w:hAnsi="方正仿宋_GBK" w:eastAsia="方正仿宋_GBK" w:cs="方正仿宋_GBK"/>
          <w:color w:val="FF0000"/>
          <w:sz w:val="28"/>
          <w:szCs w:val="28"/>
          <w:u w:val="single"/>
        </w:rPr>
        <w:t>日</w:t>
      </w:r>
      <w:r>
        <w:rPr>
          <w:rFonts w:hint="eastAsia" w:ascii="方正仿宋_GBK" w:hAnsi="方正仿宋_GBK" w:eastAsia="方正仿宋_GBK" w:cs="方正仿宋_GBK"/>
          <w:color w:val="FF0000"/>
          <w:sz w:val="28"/>
          <w:szCs w:val="28"/>
          <w:u w:val="single"/>
          <w:lang w:val="en-US" w:eastAsia="zh-CN"/>
        </w:rPr>
        <w:t>10:00</w:t>
      </w:r>
      <w:r>
        <w:rPr>
          <w:rFonts w:hint="eastAsia" w:ascii="方正仿宋_GBK" w:hAnsi="方正仿宋_GBK" w:eastAsia="方正仿宋_GBK" w:cs="方正仿宋_GBK"/>
          <w:color w:val="FF0000"/>
          <w:sz w:val="28"/>
          <w:szCs w:val="28"/>
          <w:u w:val="single"/>
        </w:rPr>
        <w:t>时</w:t>
      </w:r>
      <w:r>
        <w:rPr>
          <w:rFonts w:hint="eastAsia" w:ascii="方正仿宋_GBK" w:hAnsi="方正仿宋_GBK" w:eastAsia="方正仿宋_GBK" w:cs="方正仿宋_GBK"/>
          <w:sz w:val="28"/>
          <w:szCs w:val="28"/>
        </w:rPr>
        <w:t>在重庆机场集团公司（重庆市渝北区机场东二路19号）办公楼对本项目进行比选，各比选响应人须参加。注：比选开始前，各比选响应人须在重庆机场集团公司办公楼6010室等候通知具体比选地点。</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1"/>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1"/>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w:t>
      </w:r>
      <w:r>
        <w:rPr>
          <w:rFonts w:hint="eastAsia" w:ascii="方正仿宋_GBK" w:hAnsi="方正仿宋_GBK" w:eastAsia="方正仿宋_GBK" w:cs="方正仿宋_GBK"/>
          <w:sz w:val="28"/>
          <w:szCs w:val="28"/>
          <w:lang w:eastAsia="zh-CN"/>
        </w:rPr>
        <w:t>将</w:t>
      </w:r>
      <w:r>
        <w:rPr>
          <w:rFonts w:hint="eastAsia" w:ascii="方正仿宋_GBK" w:hAnsi="方正仿宋_GBK" w:eastAsia="方正仿宋_GBK" w:cs="方正仿宋_GBK"/>
          <w:color w:val="auto"/>
          <w:sz w:val="28"/>
          <w:szCs w:val="28"/>
          <w:u w:val="none"/>
        </w:rPr>
        <w:t>在</w:t>
      </w:r>
      <w:r>
        <w:rPr>
          <w:rFonts w:hint="eastAsia" w:ascii="方正仿宋_GBK" w:hAnsi="方正仿宋_GBK" w:eastAsia="方正仿宋_GBK" w:cs="方正仿宋_GBK"/>
          <w:color w:val="000000"/>
          <w:sz w:val="28"/>
          <w:szCs w:val="28"/>
        </w:rPr>
        <w:t>重庆机场集团有限公司官网</w:t>
      </w:r>
      <w:r>
        <w:rPr>
          <w:rFonts w:ascii="方正仿宋_GBK" w:hAnsi="方正仿宋_GBK" w:eastAsia="方正仿宋_GBK" w:cs="方正仿宋_GBK"/>
          <w:color w:val="000000"/>
          <w:sz w:val="28"/>
          <w:szCs w:val="28"/>
        </w:rPr>
        <w:t>发布</w:t>
      </w:r>
      <w:r>
        <w:rPr>
          <w:rFonts w:hint="eastAsia" w:ascii="方正仿宋_GBK" w:hAnsi="方正仿宋_GBK" w:eastAsia="方正仿宋_GBK" w:cs="方正仿宋_GBK"/>
          <w:color w:val="000000"/>
          <w:sz w:val="28"/>
          <w:szCs w:val="28"/>
          <w:lang w:eastAsia="zh-CN"/>
        </w:rPr>
        <w:t>拟成交结果公示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shd w:val="clear" w:color="auto" w:fill="auto"/>
        </w:rPr>
        <w:t>联系人：</w:t>
      </w:r>
      <w:r>
        <w:rPr>
          <w:rFonts w:hint="eastAsia" w:ascii="方正仿宋_GBK" w:hAnsi="方正仿宋_GBK" w:eastAsia="方正仿宋_GBK" w:cs="方正仿宋_GBK"/>
          <w:sz w:val="28"/>
          <w:szCs w:val="28"/>
          <w:shd w:val="clear" w:color="auto" w:fill="auto"/>
          <w:lang w:eastAsia="zh-CN"/>
        </w:rPr>
        <w:t>齐老师</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shd w:val="clear" w:color="auto" w:fill="auto"/>
          <w:lang w:val="en-US" w:eastAsia="zh-CN"/>
        </w:rPr>
      </w:pPr>
      <w:r>
        <w:rPr>
          <w:rFonts w:hint="eastAsia" w:ascii="方正仿宋_GBK" w:hAnsi="方正仿宋_GBK" w:eastAsia="方正仿宋_GBK" w:cs="方正仿宋_GBK"/>
          <w:sz w:val="28"/>
          <w:szCs w:val="28"/>
          <w:shd w:val="clear" w:color="auto" w:fill="auto"/>
        </w:rPr>
        <w:t>电话：6715</w:t>
      </w:r>
      <w:r>
        <w:rPr>
          <w:rFonts w:hint="eastAsia" w:ascii="方正仿宋_GBK" w:hAnsi="方正仿宋_GBK" w:eastAsia="方正仿宋_GBK" w:cs="方正仿宋_GBK"/>
          <w:sz w:val="28"/>
          <w:szCs w:val="28"/>
          <w:shd w:val="clear" w:color="auto" w:fill="auto"/>
          <w:lang w:val="en-US" w:eastAsia="zh-CN"/>
        </w:rPr>
        <w:t>3066ld</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shd w:val="clear" w:color="auto" w:fill="auto"/>
        </w:rPr>
        <w:t>传真：67156296</w:t>
      </w:r>
    </w:p>
    <w:p>
      <w:pPr>
        <w:keepNext w:val="0"/>
        <w:keepLines w:val="0"/>
        <w:pageBreakBefore w:val="0"/>
        <w:kinsoku/>
        <w:wordWrap/>
        <w:overflowPunct/>
        <w:topLinePunct w:val="0"/>
        <w:bidi w:val="0"/>
        <w:snapToGrid w:val="0"/>
        <w:spacing w:line="560" w:lineRule="exact"/>
        <w:ind w:firstLine="539"/>
        <w:rPr>
          <w:rFonts w:hint="eastAsia" w:eastAsia="方正仿宋_GBK"/>
          <w:shd w:val="clear" w:color="auto" w:fill="auto"/>
          <w:lang w:val="en-US" w:eastAsia="zh-CN"/>
        </w:rPr>
      </w:pPr>
      <w:r>
        <w:rPr>
          <w:rFonts w:hint="eastAsia" w:ascii="方正仿宋_GBK" w:hAnsi="方正仿宋_GBK" w:eastAsia="方正仿宋_GBK" w:cs="方正仿宋_GBK"/>
          <w:sz w:val="28"/>
          <w:szCs w:val="28"/>
          <w:shd w:val="clear" w:color="auto" w:fill="auto"/>
        </w:rPr>
        <w:t>邮编：40112</w:t>
      </w:r>
      <w:r>
        <w:rPr>
          <w:rFonts w:hint="eastAsia" w:ascii="方正仿宋_GBK" w:hAnsi="方正仿宋_GBK" w:eastAsia="方正仿宋_GBK" w:cs="方正仿宋_GBK"/>
          <w:sz w:val="28"/>
          <w:szCs w:val="28"/>
          <w:shd w:val="clear" w:color="auto" w:fill="auto"/>
          <w:lang w:val="en-US" w:eastAsia="zh-CN"/>
        </w:rPr>
        <w:t>0</w:t>
      </w:r>
    </w:p>
    <w:p>
      <w:pPr>
        <w:wordWrap w:val="0"/>
        <w:spacing w:line="300" w:lineRule="exact"/>
        <w:jc w:val="both"/>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2"/>
        <w:jc w:val="both"/>
        <w:rPr>
          <w:rFonts w:hint="eastAsia"/>
          <w:lang w:eastAsia="zh-CN"/>
        </w:rPr>
      </w:pPr>
    </w:p>
    <w:p>
      <w:pPr>
        <w:rPr>
          <w:rFonts w:hint="eastAsia"/>
          <w:lang w:eastAsia="zh-CN"/>
        </w:rPr>
      </w:pPr>
    </w:p>
    <w:p>
      <w:pPr>
        <w:pStyle w:val="2"/>
        <w:rPr>
          <w:rFonts w:hint="eastAsia"/>
          <w:lang w:eastAsia="zh-CN"/>
        </w:rPr>
      </w:pPr>
    </w:p>
    <w:p>
      <w:pPr>
        <w:pStyle w:val="3"/>
        <w:numPr>
          <w:ilvl w:val="0"/>
          <w:numId w:val="0"/>
        </w:numPr>
        <w:jc w:val="center"/>
        <w:rPr>
          <w:rFonts w:hint="eastAsia" w:ascii="黑体" w:eastAsia="黑体"/>
          <w:b w:val="0"/>
          <w:sz w:val="36"/>
          <w:szCs w:val="36"/>
        </w:rPr>
      </w:pPr>
      <w:r>
        <w:rPr>
          <w:rFonts w:hint="eastAsia"/>
          <w:sz w:val="36"/>
          <w:szCs w:val="36"/>
          <w:highlight w:val="none"/>
          <w:lang w:eastAsia="zh-CN"/>
        </w:rPr>
        <w:t>重庆机场</w:t>
      </w:r>
      <w:r>
        <w:rPr>
          <w:rFonts w:hint="eastAsia"/>
          <w:sz w:val="36"/>
          <w:szCs w:val="36"/>
          <w:highlight w:val="none"/>
          <w:lang w:val="en-US" w:eastAsia="zh-CN"/>
        </w:rPr>
        <w:t>女</w:t>
      </w:r>
      <w:r>
        <w:rPr>
          <w:rFonts w:hint="eastAsia"/>
          <w:sz w:val="36"/>
          <w:szCs w:val="36"/>
          <w:highlight w:val="none"/>
          <w:lang w:eastAsia="zh-CN"/>
        </w:rPr>
        <w:t>职</w:t>
      </w:r>
      <w:r>
        <w:rPr>
          <w:rFonts w:hint="eastAsia"/>
          <w:sz w:val="36"/>
          <w:szCs w:val="36"/>
          <w:lang w:eastAsia="zh-CN"/>
        </w:rPr>
        <w:t>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rPr>
      </w:pPr>
      <w:r>
        <w:rPr>
          <w:rFonts w:hint="eastAsia" w:ascii="仿宋_GB2312"/>
          <w:b/>
          <w:sz w:val="24"/>
        </w:rPr>
        <w:t xml:space="preserve">甲方：重庆机场集团有限公司 </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 xml:space="preserve">地    址：  </w:t>
      </w:r>
      <w:r>
        <w:rPr>
          <w:rFonts w:hint="eastAsia" w:ascii="仿宋_GB2312"/>
          <w:bCs/>
          <w:sz w:val="24"/>
          <w:lang w:val="en-US" w:eastAsia="zh-CN"/>
        </w:rPr>
        <w:t xml:space="preserve"> </w:t>
      </w:r>
      <w:r>
        <w:rPr>
          <w:rFonts w:hint="eastAsia" w:ascii="仿宋_GB2312"/>
          <w:bCs/>
          <w:sz w:val="24"/>
        </w:rPr>
        <w:t xml:space="preserve">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eastAsia="宋体"/>
          <w:bCs/>
          <w:sz w:val="24"/>
          <w:shd w:val="clear" w:color="auto" w:fill="auto"/>
          <w:lang w:eastAsia="zh-CN"/>
        </w:rPr>
      </w:pPr>
      <w:r>
        <w:rPr>
          <w:rFonts w:hint="eastAsia" w:ascii="仿宋_GB2312"/>
          <w:bCs/>
          <w:sz w:val="24"/>
          <w:shd w:val="clear" w:color="auto" w:fill="auto"/>
        </w:rPr>
        <w:t xml:space="preserve">联 系 人：   </w:t>
      </w:r>
      <w:r>
        <w:rPr>
          <w:rFonts w:hint="eastAsia" w:ascii="仿宋_GB2312"/>
          <w:bCs/>
          <w:sz w:val="24"/>
          <w:shd w:val="clear" w:color="auto" w:fill="auto"/>
          <w:lang w:val="en-US" w:eastAsia="zh-CN"/>
        </w:rPr>
        <w:t xml:space="preserve"> 付瑜</w:t>
      </w:r>
    </w:p>
    <w:p>
      <w:pPr>
        <w:spacing w:line="360" w:lineRule="auto"/>
        <w:ind w:firstLine="480"/>
        <w:rPr>
          <w:rFonts w:hint="default" w:ascii="仿宋_GB2312" w:eastAsia="宋体"/>
          <w:bCs/>
          <w:sz w:val="24"/>
          <w:shd w:val="clear" w:color="auto" w:fill="auto"/>
          <w:lang w:val="en-US" w:eastAsia="zh-CN"/>
        </w:rPr>
      </w:pPr>
      <w:r>
        <w:rPr>
          <w:rFonts w:hint="eastAsia" w:ascii="仿宋_GB2312"/>
          <w:bCs/>
          <w:sz w:val="24"/>
          <w:shd w:val="clear" w:color="auto" w:fill="auto"/>
        </w:rPr>
        <w:t>电    话：    6715</w:t>
      </w:r>
      <w:r>
        <w:rPr>
          <w:rFonts w:hint="eastAsia" w:ascii="仿宋_GB2312"/>
          <w:bCs/>
          <w:sz w:val="24"/>
          <w:shd w:val="clear" w:color="auto" w:fill="auto"/>
          <w:lang w:val="en-US" w:eastAsia="zh-CN"/>
        </w:rPr>
        <w:t>2383</w:t>
      </w:r>
      <w:r>
        <w:rPr>
          <w:rFonts w:hint="eastAsia" w:ascii="仿宋_GB2312"/>
          <w:bCs/>
          <w:sz w:val="24"/>
          <w:shd w:val="clear" w:color="auto" w:fill="auto"/>
        </w:rPr>
        <w:t xml:space="preserve">  </w:t>
      </w:r>
      <w:r>
        <w:rPr>
          <w:rFonts w:hint="eastAsia" w:ascii="仿宋_GB2312"/>
          <w:bCs/>
          <w:sz w:val="24"/>
          <w:shd w:val="clear" w:color="auto" w:fill="auto"/>
          <w:lang w:val="en-US" w:eastAsia="zh-CN"/>
        </w:rPr>
        <w:t>18696668660</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spacing w:line="360" w:lineRule="auto"/>
        <w:ind w:firstLine="0" w:firstLineChars="0"/>
        <w:rPr>
          <w:rFonts w:hint="eastAsia" w:ascii="仿宋_GB2312" w:hAnsi="宋体"/>
          <w:b/>
          <w:bCs/>
          <w:sz w:val="24"/>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position w:val="2"/>
          <w:sz w:val="24"/>
        </w:rPr>
        <w:t>委托方</w:t>
      </w:r>
      <w:r>
        <w:rPr>
          <w:rFonts w:hint="eastAsia" w:ascii="仿宋_GB2312" w:hAnsi="仿宋_GB2312" w:cs="仿宋_GB2312"/>
          <w:b/>
          <w:bCs/>
          <w:sz w:val="24"/>
        </w:rPr>
        <w:t xml:space="preserve"> 重庆机场集团有限公司</w:t>
      </w:r>
      <w:r>
        <w:rPr>
          <w:rFonts w:hint="eastAsia" w:ascii="仿宋_GB2312" w:hAnsi="仿宋_GB2312" w:cs="仿宋_GB2312"/>
          <w:position w:val="2"/>
          <w:sz w:val="24"/>
        </w:rPr>
        <w:t>(以下简称为甲方)与</w:t>
      </w:r>
      <w:r>
        <w:rPr>
          <w:rFonts w:hint="eastAsia" w:ascii="仿宋_GB2312" w:hAnsi="仿宋_GB2312" w:cs="仿宋_GB2312"/>
          <w:position w:val="2"/>
          <w:sz w:val="24"/>
          <w:u w:val="single"/>
        </w:rPr>
        <w:t xml:space="preserve">             </w:t>
      </w:r>
      <w:r>
        <w:rPr>
          <w:rFonts w:hint="eastAsia" w:ascii="仿宋_GB2312" w:hAnsi="仿宋_GB2312" w:cs="仿宋_GB2312"/>
          <w:color w:val="000000"/>
          <w:sz w:val="24"/>
          <w:u w:val="single"/>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w:t>
      </w:r>
      <w:r>
        <w:rPr>
          <w:rFonts w:hint="eastAsia" w:ascii="仿宋_GB2312" w:hAnsi="仿宋_GB2312" w:cs="仿宋_GB2312"/>
          <w:color w:val="000000"/>
          <w:sz w:val="24"/>
          <w:lang w:val="en-US" w:eastAsia="zh-CN"/>
        </w:rPr>
        <w:t>女职工</w:t>
      </w:r>
      <w:r>
        <w:rPr>
          <w:rFonts w:hint="eastAsia" w:ascii="仿宋_GB2312" w:hAnsi="仿宋_GB2312" w:cs="仿宋_GB2312"/>
          <w:color w:val="000000"/>
          <w:sz w:val="24"/>
        </w:rPr>
        <w:t>健康体检服务。</w:t>
      </w:r>
      <w:r>
        <w:rPr>
          <w:rFonts w:hint="eastAsia" w:ascii="仿宋_GB2312" w:hAnsi="仿宋_GB2312" w:cs="仿宋_GB2312"/>
          <w:sz w:val="24"/>
        </w:rPr>
        <w:t>甲乙双方根据《中华人民共和国合同法》及相关的法律法规之规定，本着友好合作、协商一致的原则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4"/>
        </w:numPr>
        <w:spacing w:line="360" w:lineRule="auto"/>
        <w:ind w:firstLine="480"/>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体检时间：</w:t>
      </w:r>
      <w:r>
        <w:rPr>
          <w:rFonts w:hint="eastAsia" w:ascii="仿宋_GB2312" w:hAnsi="仿宋_GB2312" w:cs="仿宋_GB2312"/>
          <w:color w:val="auto"/>
          <w:sz w:val="24"/>
          <w:highlight w:val="none"/>
        </w:rPr>
        <w:t>20</w:t>
      </w:r>
      <w:r>
        <w:rPr>
          <w:rFonts w:hint="eastAsia" w:ascii="仿宋_GB2312" w:hAnsi="仿宋_GB2312" w:cs="仿宋_GB2312"/>
          <w:color w:val="auto"/>
          <w:sz w:val="24"/>
          <w:highlight w:val="none"/>
          <w:lang w:val="en-US" w:eastAsia="zh-CN"/>
        </w:rPr>
        <w:t>20</w:t>
      </w:r>
      <w:r>
        <w:rPr>
          <w:rFonts w:hint="eastAsia" w:ascii="仿宋_GB2312" w:hAnsi="仿宋_GB2312" w:cs="仿宋_GB2312"/>
          <w:color w:val="auto"/>
          <w:sz w:val="24"/>
          <w:highlight w:val="none"/>
        </w:rPr>
        <w:t xml:space="preserve">年 </w:t>
      </w:r>
      <w:r>
        <w:rPr>
          <w:rFonts w:hint="eastAsia" w:ascii="仿宋_GB2312" w:hAnsi="仿宋_GB2312" w:cs="仿宋_GB2312"/>
          <w:color w:val="auto"/>
          <w:sz w:val="24"/>
          <w:highlight w:val="none"/>
          <w:lang w:val="en-US" w:eastAsia="zh-CN"/>
        </w:rPr>
        <w:t>11</w:t>
      </w:r>
      <w:r>
        <w:rPr>
          <w:rFonts w:hint="eastAsia" w:ascii="仿宋_GB2312" w:hAnsi="仿宋_GB2312" w:cs="仿宋_GB2312"/>
          <w:color w:val="auto"/>
          <w:sz w:val="24"/>
          <w:highlight w:val="none"/>
        </w:rPr>
        <w:t>月 至</w:t>
      </w:r>
      <w:r>
        <w:rPr>
          <w:rFonts w:hint="eastAsia" w:ascii="仿宋_GB2312" w:hAnsi="仿宋_GB2312" w:cs="仿宋_GB2312"/>
          <w:color w:val="auto"/>
          <w:sz w:val="24"/>
          <w:highlight w:val="none"/>
          <w:lang w:val="en-US" w:eastAsia="zh-CN"/>
        </w:rPr>
        <w:t>2020年12</w:t>
      </w:r>
      <w:r>
        <w:rPr>
          <w:rFonts w:hint="eastAsia" w:ascii="仿宋_GB2312" w:hAnsi="仿宋_GB2312" w:cs="仿宋_GB2312"/>
          <w:color w:val="auto"/>
          <w:sz w:val="24"/>
          <w:highlight w:val="none"/>
        </w:rPr>
        <w:t xml:space="preserve"> 月 </w:t>
      </w:r>
      <w:r>
        <w:rPr>
          <w:rFonts w:hint="eastAsia" w:ascii="仿宋_GB2312" w:hAnsi="仿宋_GB2312" w:cs="仿宋_GB2312"/>
          <w:color w:val="auto"/>
          <w:sz w:val="24"/>
          <w:highlight w:val="none"/>
          <w:lang w:val="en-US" w:eastAsia="zh-CN"/>
        </w:rPr>
        <w:t>20</w:t>
      </w:r>
      <w:r>
        <w:rPr>
          <w:rFonts w:hint="eastAsia" w:ascii="仿宋_GB2312" w:hAnsi="仿宋_GB2312" w:cs="仿宋_GB2312"/>
          <w:color w:val="auto"/>
          <w:sz w:val="24"/>
          <w:highlight w:val="none"/>
        </w:rPr>
        <w:t xml:space="preserve"> 日。在此时间段以内，乙方应为甲方提供</w:t>
      </w:r>
      <w:r>
        <w:rPr>
          <w:rFonts w:hint="eastAsia" w:ascii="仿宋_GB2312" w:hAnsi="仿宋_GB2312" w:cs="仿宋_GB2312"/>
          <w:color w:val="auto"/>
          <w:sz w:val="24"/>
          <w:highlight w:val="none"/>
          <w:lang w:val="en-US" w:eastAsia="zh-CN"/>
        </w:rPr>
        <w:t>女</w:t>
      </w:r>
      <w:r>
        <w:rPr>
          <w:rFonts w:hint="eastAsia" w:ascii="仿宋_GB2312" w:hAnsi="仿宋_GB2312" w:cs="仿宋_GB2312"/>
          <w:color w:val="auto"/>
          <w:sz w:val="24"/>
          <w:highlight w:val="none"/>
        </w:rPr>
        <w:t>职工</w:t>
      </w:r>
      <w:r>
        <w:rPr>
          <w:rFonts w:hint="eastAsia" w:ascii="仿宋_GB2312" w:hAnsi="仿宋_GB2312" w:cs="仿宋_GB2312"/>
          <w:color w:val="auto"/>
          <w:sz w:val="24"/>
          <w:highlight w:val="none"/>
          <w:lang w:eastAsia="zh-CN"/>
        </w:rPr>
        <w:t>市内医院</w:t>
      </w:r>
      <w:r>
        <w:rPr>
          <w:rFonts w:hint="eastAsia" w:ascii="仿宋_GB2312" w:hAnsi="仿宋_GB2312" w:cs="仿宋_GB2312"/>
          <w:color w:val="auto"/>
          <w:sz w:val="24"/>
          <w:highlight w:val="none"/>
        </w:rPr>
        <w:t>健康体检服务项目</w:t>
      </w:r>
      <w:r>
        <w:rPr>
          <w:rFonts w:hint="eastAsia"/>
          <w:color w:val="auto"/>
          <w:sz w:val="24"/>
          <w:szCs w:val="24"/>
          <w:highlight w:val="none"/>
          <w:lang w:val="en-US" w:eastAsia="zh-CN"/>
        </w:rPr>
        <w:t>1个月（14:00—17:30）的</w:t>
      </w:r>
      <w:r>
        <w:rPr>
          <w:rFonts w:hint="eastAsia"/>
          <w:color w:val="auto"/>
          <w:sz w:val="24"/>
          <w:szCs w:val="24"/>
          <w:highlight w:val="none"/>
          <w:lang w:eastAsia="zh-CN"/>
        </w:rPr>
        <w:t>专场服务</w:t>
      </w:r>
      <w:r>
        <w:rPr>
          <w:rFonts w:hint="eastAsia" w:ascii="仿宋_GB2312" w:hAnsi="仿宋_GB2312" w:cs="仿宋_GB2312"/>
          <w:color w:val="auto"/>
          <w:sz w:val="24"/>
          <w:highlight w:val="none"/>
        </w:rPr>
        <w:t>，具体时间由双方协商约定。未参加专场体检的甲方职工可以自行安排时间进行体检。</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eastAsia" w:ascii="仿宋_GB2312" w:hAnsi="仿宋_GB2312" w:cs="仿宋_GB2312"/>
          <w:color w:val="000000"/>
          <w:sz w:val="24"/>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姓名、身份证号码</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体检项目</w:t>
      </w:r>
      <w:r>
        <w:rPr>
          <w:rFonts w:hint="eastAsia" w:ascii="仿宋_GB2312" w:hAnsi="仿宋_GB2312" w:cs="仿宋_GB2312"/>
          <w:color w:val="000000"/>
          <w:sz w:val="24"/>
        </w:rPr>
        <w:t>等信息。</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shd w:val="clear" w:color="auto" w:fill="auto"/>
        </w:rPr>
        <w:t xml:space="preserve"> </w:t>
      </w:r>
      <w:r>
        <w:rPr>
          <w:rFonts w:hint="eastAsia" w:ascii="仿宋_GB2312" w:hAnsi="仿宋_GB2312" w:cs="仿宋_GB2312"/>
          <w:sz w:val="24"/>
          <w:u w:val="single"/>
          <w:shd w:val="clear" w:color="auto" w:fill="auto"/>
          <w:lang w:val="en-US" w:eastAsia="zh-CN"/>
        </w:rPr>
        <w:t>1830</w:t>
      </w:r>
      <w:r>
        <w:rPr>
          <w:rFonts w:hint="eastAsia" w:ascii="仿宋_GB2312" w:hAnsi="仿宋_GB2312" w:cs="仿宋_GB2312"/>
          <w:sz w:val="24"/>
          <w:u w:val="single"/>
          <w:shd w:val="clear" w:color="auto" w:fill="auto"/>
        </w:rPr>
        <w:t xml:space="preserve"> </w:t>
      </w:r>
      <w:r>
        <w:rPr>
          <w:rFonts w:hint="eastAsia" w:ascii="仿宋_GB2312" w:hAnsi="仿宋_GB2312" w:cs="仿宋_GB2312"/>
          <w:sz w:val="24"/>
          <w:u w:val="thick" w:color="FFFFFF"/>
        </w:rPr>
        <w:t>人</w:t>
      </w:r>
      <w:r>
        <w:rPr>
          <w:rFonts w:hint="eastAsia" w:ascii="仿宋_GB2312" w:hAnsi="仿宋_GB2312" w:cs="仿宋_GB2312"/>
          <w:color w:val="000000"/>
          <w:sz w:val="24"/>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.体检费用</w:t>
      </w:r>
    </w:p>
    <w:tbl>
      <w:tblPr>
        <w:tblStyle w:val="68"/>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90"/>
        <w:gridCol w:w="533"/>
        <w:gridCol w:w="1131"/>
        <w:gridCol w:w="1187"/>
        <w:gridCol w:w="790"/>
        <w:gridCol w:w="1336"/>
        <w:gridCol w:w="1241"/>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519"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2154" w:type="dxa"/>
            <w:gridSpan w:val="3"/>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1977" w:type="dxa"/>
            <w:gridSpan w:val="2"/>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eastAsia="宋体"/>
                <w:b/>
                <w:color w:val="000000"/>
                <w:sz w:val="24"/>
                <w:lang w:eastAsia="zh-CN"/>
              </w:rPr>
            </w:pPr>
            <w:r>
              <w:rPr>
                <w:rFonts w:hint="eastAsia" w:ascii="宋体" w:hAnsi="宋体"/>
                <w:b/>
                <w:color w:val="000000"/>
                <w:sz w:val="24"/>
                <w:lang w:eastAsia="zh-CN"/>
              </w:rPr>
              <w:t>具体内容</w:t>
            </w:r>
          </w:p>
        </w:tc>
        <w:tc>
          <w:tcPr>
            <w:tcW w:w="1336"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预估人数</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4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单价</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69"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rPr>
            </w:pPr>
            <w:r>
              <w:rPr>
                <w:rFonts w:hint="eastAsia" w:ascii="宋体" w:hAnsi="宋体"/>
                <w:b/>
                <w:color w:val="000000"/>
                <w:sz w:val="24"/>
              </w:rPr>
              <w:t>合计</w:t>
            </w:r>
          </w:p>
          <w:p>
            <w:pPr>
              <w:ind w:firstLine="0" w:firstLineChars="0"/>
              <w:jc w:val="center"/>
              <w:rPr>
                <w:rFonts w:hint="eastAsia" w:ascii="宋体" w:hAnsi="宋体" w:eastAsia="宋体"/>
                <w:b/>
                <w:color w:val="000000"/>
                <w:sz w:val="24"/>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 xml:space="preserve">元 </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519"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490"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已</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目</w:t>
            </w:r>
          </w:p>
        </w:tc>
        <w:tc>
          <w:tcPr>
            <w:tcW w:w="1664"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1240</w:t>
            </w: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490"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p>
        </w:tc>
        <w:tc>
          <w:tcPr>
            <w:tcW w:w="1664"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子宫附件彩超（阴式）</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妇科检查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内阴、阴道、外阴检查等</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白带常规</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滴虫、霉菌、清洁度、细菌性</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TCT液基细胞学检查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490" w:type="dxa"/>
            <w:vMerge w:val="restart"/>
            <w:tcBorders>
              <w:top w:val="single" w:color="auto" w:sz="4" w:space="0"/>
              <w:right w:val="single" w:color="auto" w:sz="2" w:space="0"/>
            </w:tcBorders>
            <w:vAlign w:val="center"/>
          </w:tcPr>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未</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color w:val="000000"/>
                <w:sz w:val="24"/>
                <w:szCs w:val="24"/>
              </w:rPr>
            </w:pPr>
            <w:r>
              <w:rPr>
                <w:rFonts w:hint="eastAsia" w:ascii="宋体" w:hAnsi="宋体"/>
                <w:snapToGrid/>
                <w:color w:val="000000"/>
                <w:spacing w:val="0"/>
                <w:kern w:val="2"/>
                <w:sz w:val="24"/>
                <w:szCs w:val="24"/>
              </w:rPr>
              <w:t>目</w:t>
            </w: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590</w:t>
            </w: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子宫附件彩超（腹部）</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3860" w:type="dxa"/>
            <w:gridSpan w:val="5"/>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lang w:eastAsia="zh-CN"/>
              </w:rPr>
              <w:t>最终报价合计</w:t>
            </w:r>
            <w:r>
              <w:rPr>
                <w:rFonts w:hint="eastAsia" w:ascii="宋体" w:hAnsi="宋体"/>
                <w:color w:val="000000"/>
                <w:sz w:val="24"/>
                <w:szCs w:val="24"/>
                <w:lang w:val="en-US" w:eastAsia="zh-CN"/>
              </w:rPr>
              <w:t>/年</w:t>
            </w:r>
            <w:r>
              <w:rPr>
                <w:rFonts w:hint="eastAsia" w:ascii="宋体" w:hAnsi="宋体"/>
                <w:color w:val="000000"/>
                <w:sz w:val="24"/>
                <w:szCs w:val="24"/>
                <w:lang w:eastAsia="zh-CN"/>
              </w:rPr>
              <w:t>（元）</w:t>
            </w:r>
          </w:p>
        </w:tc>
        <w:tc>
          <w:tcPr>
            <w:tcW w:w="4636" w:type="dxa"/>
            <w:gridSpan w:val="4"/>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542" w:type="dxa"/>
            <w:gridSpan w:val="3"/>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rPr>
              <w:t>备注</w:t>
            </w:r>
          </w:p>
        </w:tc>
        <w:tc>
          <w:tcPr>
            <w:tcW w:w="6954" w:type="dxa"/>
            <w:gridSpan w:val="6"/>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按每年实际参加人数和相应的体检</w:t>
            </w:r>
            <w:r>
              <w:rPr>
                <w:rFonts w:hint="eastAsia" w:ascii="宋体" w:hAnsi="宋体"/>
                <w:snapToGrid/>
                <w:color w:val="000000"/>
                <w:spacing w:val="0"/>
                <w:kern w:val="2"/>
                <w:sz w:val="24"/>
                <w:szCs w:val="24"/>
                <w:lang w:eastAsia="zh-CN"/>
              </w:rPr>
              <w:t>项目</w:t>
            </w:r>
            <w:r>
              <w:rPr>
                <w:rFonts w:hint="eastAsia" w:ascii="宋体" w:hAnsi="宋体"/>
                <w:snapToGrid/>
                <w:color w:val="000000"/>
                <w:spacing w:val="0"/>
                <w:kern w:val="2"/>
                <w:sz w:val="24"/>
                <w:szCs w:val="24"/>
              </w:rPr>
              <w:t>结算。</w:t>
            </w:r>
          </w:p>
        </w:tc>
      </w:tr>
    </w:tbl>
    <w:p>
      <w:pPr>
        <w:spacing w:line="360" w:lineRule="auto"/>
        <w:ind w:firstLine="480" w:firstLineChars="200"/>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color w:val="000000"/>
          <w:sz w:val="24"/>
          <w:lang w:eastAsia="zh-CN"/>
        </w:rPr>
        <w:t>女</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目的总费用为：人民币（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rPr>
        <w:t>圆整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sz w:val="24"/>
          <w:lang w:eastAsia="zh-CN"/>
        </w:rPr>
        <w:t>。</w:t>
      </w:r>
      <w:r>
        <w:rPr>
          <w:rFonts w:hint="eastAsia" w:ascii="仿宋_GB2312" w:hAnsi="仿宋_GB2312" w:cs="仿宋_GB2312"/>
          <w:sz w:val="24"/>
          <w:lang w:val="en-US" w:eastAsia="zh-CN"/>
        </w:rPr>
        <w:t>实际</w:t>
      </w:r>
      <w:r>
        <w:rPr>
          <w:rFonts w:hint="eastAsia" w:ascii="仿宋_GB2312" w:hAnsi="仿宋_GB2312" w:cs="仿宋_GB2312"/>
          <w:sz w:val="24"/>
          <w:u w:val="thick" w:color="FFFFFF"/>
        </w:rPr>
        <w:t>结算总金额</w:t>
      </w:r>
      <w:r>
        <w:rPr>
          <w:rFonts w:hint="eastAsia" w:ascii="仿宋_GB2312" w:hAnsi="仿宋_GB2312" w:cs="仿宋_GB2312"/>
          <w:sz w:val="24"/>
          <w:u w:val="thick" w:color="FFFFFF"/>
          <w:lang w:val="en-US" w:eastAsia="zh-CN"/>
        </w:rPr>
        <w:t>根据实际体检人数按相应单价据实结算</w:t>
      </w:r>
      <w:r>
        <w:rPr>
          <w:rFonts w:hint="eastAsia" w:ascii="仿宋_GB2312" w:hAnsi="仿宋_GB2312" w:cs="仿宋_GB2312"/>
          <w:color w:val="000000"/>
          <w:sz w:val="24"/>
          <w:u w:val="thick" w:color="FFFFFF"/>
        </w:rPr>
        <w:t>。</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w:t>
      </w:r>
      <w:r>
        <w:rPr>
          <w:rFonts w:hint="eastAsia" w:hAnsi="宋体"/>
          <w:color w:val="000000"/>
          <w:sz w:val="24"/>
          <w:lang w:eastAsia="zh-CN"/>
        </w:rPr>
        <w:t>采购方</w:t>
      </w:r>
      <w:r>
        <w:rPr>
          <w:rFonts w:hint="eastAsia" w:hAnsi="宋体"/>
          <w:color w:val="000000"/>
          <w:sz w:val="24"/>
        </w:rPr>
        <w:t>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FF0000"/>
          <w:sz w:val="24"/>
          <w:lang w:val="en-US" w:eastAsia="zh-CN"/>
        </w:rPr>
        <w:t>3.</w:t>
      </w:r>
      <w:r>
        <w:rPr>
          <w:rFonts w:hint="eastAsia" w:ascii="仿宋_GB2312" w:hAnsi="仿宋_GB2312" w:cs="仿宋_GB2312"/>
          <w:color w:val="FF0000"/>
          <w:sz w:val="24"/>
          <w:lang w:eastAsia="zh-CN"/>
        </w:rPr>
        <w:t>在体检合同期间</w:t>
      </w:r>
      <w:r>
        <w:rPr>
          <w:rFonts w:hint="eastAsia" w:ascii="仿宋_GB2312" w:hAnsi="仿宋_GB2312" w:cs="仿宋_GB2312"/>
          <w:color w:val="000000"/>
          <w:sz w:val="24"/>
          <w:lang w:eastAsia="zh-CN"/>
        </w:rPr>
        <w:t>内</w:t>
      </w:r>
      <w:r>
        <w:rPr>
          <w:rFonts w:hint="eastAsia" w:ascii="仿宋_GB2312" w:hAnsi="仿宋_GB2312" w:cs="仿宋_GB2312"/>
          <w:color w:val="000000"/>
          <w:sz w:val="24"/>
        </w:rPr>
        <w:t>甲方下属分、子公司可按照此合同</w:t>
      </w:r>
      <w:r>
        <w:rPr>
          <w:rFonts w:hint="eastAsia" w:ascii="仿宋_GB2312" w:hAnsi="仿宋_GB2312" w:cs="仿宋_GB2312"/>
          <w:color w:val="000000"/>
          <w:sz w:val="24"/>
          <w:lang w:eastAsia="zh-CN"/>
        </w:rPr>
        <w:t>项目价格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由下属</w:t>
      </w:r>
      <w:r>
        <w:rPr>
          <w:rFonts w:hint="eastAsia" w:ascii="仿宋_GB2312" w:hAnsi="仿宋_GB2312" w:cs="仿宋_GB2312"/>
          <w:color w:val="000000"/>
          <w:sz w:val="24"/>
        </w:rPr>
        <w:t>分、子公司</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w:t>
      </w:r>
      <w:r>
        <w:rPr>
          <w:rFonts w:hint="eastAsia" w:ascii="仿宋_GB2312" w:hAnsi="仿宋_GB2312" w:cs="仿宋_GB2312"/>
          <w:color w:val="000000"/>
          <w:sz w:val="24"/>
          <w:lang w:val="en-US" w:eastAsia="zh-CN"/>
        </w:rPr>
        <w:t>体检结束后，双方就结算金额核对无误后，</w:t>
      </w:r>
      <w:r>
        <w:rPr>
          <w:rFonts w:hint="eastAsia" w:ascii="仿宋_GB2312" w:hAnsi="仿宋_GB2312" w:cs="仿宋_GB2312"/>
          <w:color w:val="000000"/>
          <w:sz w:val="24"/>
        </w:rPr>
        <w:t>甲方收到乙方开具的正规发票后20</w:t>
      </w:r>
      <w:r>
        <w:rPr>
          <w:rFonts w:hint="eastAsia" w:ascii="仿宋_GB2312" w:hAnsi="仿宋_GB2312" w:cs="仿宋_GB2312"/>
          <w:color w:val="000000"/>
          <w:sz w:val="24"/>
          <w:lang w:val="en-US" w:eastAsia="zh-CN"/>
        </w:rPr>
        <w:t>个工作日</w:t>
      </w:r>
      <w:r>
        <w:rPr>
          <w:rFonts w:hint="eastAsia" w:ascii="仿宋_GB2312" w:hAnsi="仿宋_GB2312" w:cs="仿宋_GB2312"/>
          <w:color w:val="000000"/>
          <w:sz w:val="24"/>
        </w:rPr>
        <w:t>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五、报告和发票领取方式：乙方送达甲方公司地址</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000000"/>
          <w:sz w:val="24"/>
          <w:szCs w:val="28"/>
        </w:rPr>
      </w:pPr>
      <w:r>
        <w:rPr>
          <w:rFonts w:hint="eastAsia" w:ascii="仿宋_GB2312" w:hAnsi="宋体"/>
          <w:b/>
          <w:bCs/>
          <w:color w:val="000000"/>
          <w:sz w:val="24"/>
          <w:szCs w:val="28"/>
        </w:rPr>
        <w:t>六、履约保证金</w:t>
      </w:r>
    </w:p>
    <w:p>
      <w:pPr>
        <w:spacing w:line="360" w:lineRule="auto"/>
        <w:ind w:firstLine="480"/>
        <w:rPr>
          <w:rFonts w:hint="eastAsia" w:eastAsia="宋体"/>
          <w:sz w:val="21"/>
          <w:szCs w:val="21"/>
          <w:lang w:eastAsia="zh-CN"/>
        </w:rPr>
      </w:pPr>
      <w:r>
        <w:rPr>
          <w:rFonts w:hint="eastAsia"/>
          <w:sz w:val="21"/>
          <w:szCs w:val="21"/>
        </w:rPr>
        <w:t xml:space="preserve">6.1 </w:t>
      </w:r>
      <w:r>
        <w:rPr>
          <w:rFonts w:hint="eastAsia" w:ascii="仿宋_GB2312" w:hAnsi="宋体"/>
          <w:color w:val="000000"/>
          <w:sz w:val="24"/>
          <w:szCs w:val="28"/>
        </w:rPr>
        <w:t>履约保证金即合同总价的5%</w:t>
      </w:r>
      <w:r>
        <w:rPr>
          <w:rFonts w:hint="eastAsia" w:hAnsi="宋体"/>
          <w:color w:val="000000"/>
          <w:sz w:val="24"/>
          <w:szCs w:val="28"/>
          <w:lang w:eastAsia="zh-CN"/>
        </w:rPr>
        <w:t>，</w:t>
      </w:r>
      <w:r>
        <w:rPr>
          <w:rFonts w:hint="eastAsia" w:ascii="仿宋_GB2312" w:hAnsi="宋体"/>
          <w:color w:val="000000"/>
          <w:sz w:val="24"/>
          <w:szCs w:val="28"/>
        </w:rPr>
        <w:t>投标保证金</w:t>
      </w:r>
      <w:r>
        <w:rPr>
          <w:rFonts w:hint="eastAsia" w:ascii="等线" w:hAnsi="等线"/>
          <w:color w:val="000000"/>
          <w:sz w:val="24"/>
          <w:szCs w:val="28"/>
        </w:rPr>
        <w:t>自动转为履约保证金，</w:t>
      </w:r>
      <w:r>
        <w:rPr>
          <w:rFonts w:hint="eastAsia" w:ascii="等线" w:hAnsi="等线"/>
          <w:color w:val="000000"/>
          <w:sz w:val="24"/>
          <w:szCs w:val="28"/>
          <w:lang w:eastAsia="zh-CN"/>
        </w:rPr>
        <w:t>不足</w:t>
      </w:r>
      <w:r>
        <w:rPr>
          <w:rFonts w:hint="eastAsia" w:ascii="等线" w:hAnsi="等线"/>
          <w:color w:val="000000"/>
          <w:sz w:val="24"/>
          <w:szCs w:val="28"/>
        </w:rPr>
        <w:t>部分乙方应在中标通知书发出后10日内以转账形式向甲方缴纳履约保证金，以作为乙方履行本合同项下相关义务的担保。履约保证金共计人民币      元，大写人民币     元。</w:t>
      </w:r>
      <w:r>
        <w:rPr>
          <w:rFonts w:hint="eastAsia" w:ascii="仿宋_GB2312" w:hAnsi="宋体"/>
          <w:color w:val="000000"/>
          <w:sz w:val="24"/>
          <w:szCs w:val="28"/>
        </w:rPr>
        <w:t>履约保证金的退还</w:t>
      </w:r>
      <w:r>
        <w:rPr>
          <w:rFonts w:hint="eastAsia" w:ascii="仿宋_GB2312" w:hAnsi="宋体"/>
          <w:color w:val="000000"/>
          <w:sz w:val="24"/>
          <w:szCs w:val="28"/>
          <w:lang w:eastAsia="zh-CN"/>
        </w:rPr>
        <w:t>：</w:t>
      </w:r>
      <w:r>
        <w:rPr>
          <w:rFonts w:hint="eastAsia" w:ascii="仿宋_GB2312" w:hAnsi="宋体"/>
          <w:color w:val="000000"/>
          <w:sz w:val="24"/>
          <w:szCs w:val="28"/>
        </w:rPr>
        <w:t>付款方式第二阶段验收合格后，如乙方在本合同有效期内完全履行了本合同条款，服从甲方监督，无违规事件等问题，并妥善处理好善后各项事宜</w:t>
      </w:r>
      <w:r>
        <w:rPr>
          <w:rFonts w:hint="eastAsia" w:ascii="仿宋_GB2312" w:hAnsi="宋体"/>
          <w:color w:val="000000"/>
          <w:sz w:val="24"/>
          <w:szCs w:val="28"/>
          <w:lang w:eastAsia="zh-CN"/>
        </w:rPr>
        <w:t>，</w:t>
      </w:r>
      <w:r>
        <w:rPr>
          <w:rFonts w:hint="eastAsia" w:ascii="仿宋_GB2312" w:hAnsi="宋体"/>
          <w:color w:val="000000"/>
          <w:sz w:val="24"/>
          <w:szCs w:val="28"/>
        </w:rPr>
        <w:t>至乙方提供有效收据之日起，甲方在20个工作日内将履约保证金无息全额返还乙方</w:t>
      </w:r>
      <w:r>
        <w:rPr>
          <w:rFonts w:hint="eastAsia" w:ascii="仿宋_GB2312" w:hAnsi="宋体"/>
          <w:color w:val="000000"/>
          <w:sz w:val="24"/>
          <w:szCs w:val="28"/>
          <w:lang w:eastAsia="zh-CN"/>
        </w:rPr>
        <w:t>。</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6.2履约保证金应由乙方名义开立的账户支付到甲方账户，否则视为未支付，甲方有权追究乙方逾期付款责任。</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w:t>
      </w:r>
      <w:r>
        <w:rPr>
          <w:rFonts w:hint="eastAsia" w:hAnsi="宋体" w:eastAsia="宋体" w:cs="Times New Roman"/>
          <w:color w:val="000000"/>
          <w:kern w:val="2"/>
          <w:sz w:val="24"/>
          <w:szCs w:val="28"/>
          <w:lang w:val="en-US" w:eastAsia="zh-CN" w:bidi="ar-SA"/>
        </w:rPr>
        <w:t>3</w:t>
      </w:r>
      <w:r>
        <w:rPr>
          <w:rFonts w:hint="eastAsia" w:ascii="仿宋_GB2312" w:hAnsi="宋体" w:eastAsia="宋体" w:cs="Times New Roman"/>
          <w:color w:val="000000"/>
          <w:kern w:val="2"/>
          <w:sz w:val="24"/>
          <w:szCs w:val="28"/>
          <w:lang w:val="en-US" w:eastAsia="zh-CN" w:bidi="ar-SA"/>
        </w:rPr>
        <w:t xml:space="preserve"> 乙方支付履约保证金时，应在“付款备注”中写明“（合同编号）XX</w:t>
      </w:r>
      <w:r>
        <w:rPr>
          <w:rFonts w:hint="eastAsia" w:hAnsi="宋体" w:eastAsia="宋体" w:cs="Times New Roman"/>
          <w:color w:val="000000"/>
          <w:kern w:val="2"/>
          <w:sz w:val="24"/>
          <w:szCs w:val="28"/>
          <w:lang w:val="en-US" w:eastAsia="zh-CN" w:bidi="ar-SA"/>
        </w:rPr>
        <w:t>体检服务</w:t>
      </w:r>
      <w:r>
        <w:rPr>
          <w:rFonts w:hint="eastAsia" w:ascii="仿宋_GB2312" w:hAnsi="宋体" w:eastAsia="宋体" w:cs="Times New Roman"/>
          <w:color w:val="000000"/>
          <w:kern w:val="2"/>
          <w:sz w:val="24"/>
          <w:szCs w:val="28"/>
          <w:lang w:val="en-US" w:eastAsia="zh-CN" w:bidi="ar-SA"/>
        </w:rPr>
        <w:t>合同履约保证金”。乙方不得与其他合同、其他缴费项目一起支付履约保证金，若因混合支付造成无法确认为本合同款项到账的，视为逾期未支付。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个工作日内，向乙方提供参检人员的个人资料，包括：姓名、身份证号等信息，并确保实际参检人员与所提供的参检人员资料一致。个人资料以Excel电子版的方式提供。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本着对参检人员健康高度负责的原则，甲方不能组织已确诊的各类传染性疾病患者、危重病人员参加此次健康体检。</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rPr>
          <w:sz w:val="22"/>
          <w:szCs w:val="28"/>
        </w:rPr>
        <w:t>甲方有权</w:t>
      </w:r>
      <w:r>
        <w:rPr>
          <w:rFonts w:hint="eastAsia"/>
          <w:sz w:val="22"/>
          <w:szCs w:val="28"/>
        </w:rPr>
        <w:t>解除合同</w:t>
      </w:r>
      <w:r>
        <w:rPr>
          <w:rFonts w:hint="eastAsia" w:ascii="Times New Roman" w:hAnsi="宋体" w:eastAsia="宋体" w:cs="Times New Roman"/>
          <w:b w:val="0"/>
          <w:bCs w:val="0"/>
          <w:color w:val="000000"/>
          <w:kern w:val="2"/>
          <w:sz w:val="24"/>
          <w:szCs w:val="24"/>
          <w:lang w:val="en-US" w:eastAsia="zh-CN" w:bidi="ar-SA"/>
        </w:rPr>
        <w:t>，甲方可调整安排到另一家体</w:t>
      </w:r>
      <w:r>
        <w:rPr>
          <w:rFonts w:hint="eastAsia" w:hAnsi="宋体"/>
          <w:color w:val="000000"/>
          <w:sz w:val="24"/>
          <w:lang w:val="en-US" w:eastAsia="zh-CN"/>
        </w:rPr>
        <w:t>检医院完成体检，乙方应当配合相关事宜。同时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19" w:leftChars="9" w:firstLine="381" w:firstLineChars="158"/>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w:t>
      </w:r>
      <w:r>
        <w:rPr>
          <w:rFonts w:hint="eastAsia" w:ascii="仿宋_GB2312" w:hAnsi="仿宋_GB2312" w:cs="仿宋_GB2312"/>
          <w:sz w:val="24"/>
          <w:lang w:eastAsia="zh-CN"/>
        </w:rPr>
        <w:t>项目</w:t>
      </w:r>
      <w:r>
        <w:rPr>
          <w:rFonts w:hint="eastAsia" w:ascii="仿宋_GB2312" w:hAnsi="仿宋_GB2312" w:cs="仿宋_GB2312"/>
          <w:sz w:val="24"/>
        </w:rPr>
        <w:t>内容和价格、甲方提供的参检人员名单和身份信息资料、以及双方约定的体检服务项目等文件均作为附件构成本协议的组成部分，具同等法律效力。</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十二、合同的变更和解除</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除非遇到不可抗力因素，导致本合同不能履行，未经甲乙双方一致书面同意，任何单方无权变更合同的内容。</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对本合同的任何修改或补充，只有在双方授权的代表签字并加盖公章或合同章后生效，并成为本合同不可分割的组成部分，与本合同具有同等法律效力。</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color w:val="000000"/>
          <w:sz w:val="24"/>
        </w:rPr>
        <w:t>本合同任何一方破产、解散，本合同自动终止，由此所造成的相关损失概由该方承担。</w:t>
      </w:r>
    </w:p>
    <w:p>
      <w:pPr>
        <w:tabs>
          <w:tab w:val="left" w:pos="765"/>
        </w:tabs>
        <w:spacing w:line="360" w:lineRule="auto"/>
        <w:ind w:firstLine="480"/>
        <w:rPr>
          <w:rFonts w:hint="eastAsia" w:ascii="仿宋_GB2312"/>
          <w:color w:val="000000"/>
          <w:sz w:val="24"/>
        </w:rPr>
      </w:pPr>
      <w:r>
        <w:rPr>
          <w:rFonts w:hint="eastAsia" w:ascii="仿宋_GB2312"/>
          <w:color w:val="000000"/>
          <w:sz w:val="24"/>
        </w:rPr>
        <w:t>5</w:t>
      </w:r>
      <w:r>
        <w:rPr>
          <w:rFonts w:hint="eastAsia" w:ascii="仿宋_GB2312"/>
          <w:color w:val="000000"/>
          <w:sz w:val="24"/>
          <w:lang w:val="en-US" w:eastAsia="zh-CN"/>
        </w:rPr>
        <w:t>.</w:t>
      </w:r>
      <w:r>
        <w:rPr>
          <w:rFonts w:hint="eastAsia" w:ascii="仿宋_GB2312"/>
          <w:color w:val="000000"/>
          <w:sz w:val="24"/>
        </w:rPr>
        <w:t>除非合同目的无法实现，否则在合同存续的情况下，违约方承担相应的违约责任后仍应继续履行本合同。</w:t>
      </w:r>
    </w:p>
    <w:p>
      <w:pPr>
        <w:spacing w:line="360" w:lineRule="auto"/>
        <w:ind w:firstLine="480"/>
        <w:rPr>
          <w:rFonts w:hint="eastAsia" w:ascii="仿宋_GB2312"/>
          <w:b/>
          <w:color w:val="000000"/>
          <w:sz w:val="24"/>
        </w:rPr>
      </w:pPr>
      <w:r>
        <w:rPr>
          <w:rFonts w:hint="eastAsia" w:ascii="仿宋_GB2312"/>
          <w:b/>
          <w:color w:val="000000"/>
          <w:sz w:val="24"/>
        </w:rPr>
        <w:t>十三、不可抗力</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受不可抗力影响的一方，应尽一切努力减轻和克服不可抗力的影响，并在不可抗力事件后，继续履行合同职责。</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hAnsi="宋体"/>
          <w:color w:val="000000"/>
          <w:sz w:val="24"/>
        </w:rPr>
        <w:t>对因不可抗力造成的损失，双方互不承担责任。但受不可抗力影响的一方未能按照十二条第一款之约定及时通知另一方，加重或扩大了另一方损失的除外。</w:t>
      </w:r>
    </w:p>
    <w:p>
      <w:pPr>
        <w:tabs>
          <w:tab w:val="left" w:pos="7560"/>
        </w:tabs>
        <w:spacing w:line="360" w:lineRule="auto"/>
        <w:ind w:firstLine="480"/>
        <w:rPr>
          <w:rFonts w:hint="eastAsia" w:ascii="仿宋_GB2312"/>
          <w:b/>
          <w:bCs/>
          <w:color w:val="000000"/>
          <w:sz w:val="24"/>
        </w:rPr>
      </w:pPr>
      <w:r>
        <w:rPr>
          <w:rFonts w:hint="eastAsia" w:ascii="仿宋_GB2312"/>
          <w:b/>
          <w:color w:val="000000"/>
          <w:sz w:val="24"/>
        </w:rPr>
        <w:t>十四</w:t>
      </w:r>
      <w:r>
        <w:rPr>
          <w:rFonts w:hint="eastAsia" w:ascii="仿宋_GB2312"/>
          <w:b/>
          <w:bCs/>
          <w:color w:val="000000"/>
          <w:sz w:val="24"/>
        </w:rPr>
        <w:t>、通知</w:t>
      </w:r>
    </w:p>
    <w:p>
      <w:pPr>
        <w:tabs>
          <w:tab w:val="left" w:pos="7560"/>
        </w:tabs>
        <w:spacing w:line="360" w:lineRule="auto"/>
        <w:ind w:left="-2" w:leftChars="-1" w:firstLine="480"/>
        <w:rPr>
          <w:rFonts w:hint="eastAsia" w:ascii="仿宋_GB2312" w:hAnsi="宋体"/>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hAnsi="宋体"/>
          <w:color w:val="000000"/>
          <w:sz w:val="24"/>
        </w:rPr>
        <w:t>本合同中任何通知必须为书面形式。</w:t>
      </w:r>
    </w:p>
    <w:p>
      <w:pPr>
        <w:spacing w:line="360" w:lineRule="auto"/>
        <w:ind w:firstLine="480"/>
        <w:rPr>
          <w:rFonts w:hint="eastAsia" w:ascii="仿宋_GB2312" w:hAnsi="宋体"/>
          <w:color w:val="000000"/>
          <w:sz w:val="24"/>
        </w:rPr>
      </w:pPr>
      <w:r>
        <w:rPr>
          <w:rFonts w:hint="eastAsia" w:ascii="仿宋_GB2312" w:hAnsi="宋体"/>
          <w:color w:val="000000"/>
          <w:sz w:val="24"/>
        </w:rPr>
        <w:t>注：以传真、电报通知的必须同时以挂号及特快专递再行通知。</w:t>
      </w:r>
    </w:p>
    <w:p>
      <w:pPr>
        <w:tabs>
          <w:tab w:val="left" w:pos="750"/>
        </w:tabs>
        <w:spacing w:line="360" w:lineRule="auto"/>
        <w:ind w:firstLine="480"/>
        <w:rPr>
          <w:rFonts w:hint="eastAsia" w:ascii="仿宋_GB2312"/>
          <w:b/>
          <w:color w:val="000000"/>
          <w:sz w:val="24"/>
        </w:rPr>
      </w:pPr>
      <w:r>
        <w:rPr>
          <w:rFonts w:hint="eastAsia" w:ascii="仿宋_GB2312"/>
          <w:b/>
          <w:color w:val="000000"/>
          <w:sz w:val="24"/>
        </w:rPr>
        <w:t>十五、争议解决和适用法律</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与本合同有关的或因执行本合同所产生之争议，应由双方友好协商解决，不能解决时，任何一方均可向原告方住所地人民法院提起诉讼。</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争议处理期间除正在审理的部分以外，双方应继续执行合同的其余部分。</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本合同的订立、效力、解释、履行及争议的解决适用中华人民共和国的法律、法规。</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十六、其他</w:t>
      </w:r>
    </w:p>
    <w:p>
      <w:pPr>
        <w:tabs>
          <w:tab w:val="left" w:pos="900"/>
        </w:tabs>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本合同未尽事宜，应由甲、乙双方协商后以书面形式补充，加盖甲、乙双方公司印章并经双方授权代表签字后生效。</w:t>
      </w:r>
    </w:p>
    <w:p>
      <w:pPr>
        <w:ind w:firstLine="480"/>
        <w:rPr>
          <w:b/>
          <w:bCs/>
          <w:sz w:val="28"/>
          <w:szCs w:val="28"/>
        </w:rPr>
      </w:pPr>
      <w:r>
        <w:rPr>
          <w:rFonts w:hint="eastAsia" w:ascii="仿宋_GB2312"/>
          <w:color w:val="000000"/>
          <w:sz w:val="24"/>
        </w:rPr>
        <w:t>2</w:t>
      </w:r>
      <w:r>
        <w:rPr>
          <w:rFonts w:hint="eastAsia" w:ascii="仿宋_GB2312"/>
          <w:color w:val="000000"/>
          <w:sz w:val="24"/>
          <w:lang w:val="en-US" w:eastAsia="zh-CN"/>
        </w:rPr>
        <w:t>.</w:t>
      </w:r>
      <w:r>
        <w:rPr>
          <w:rFonts w:hint="eastAsia" w:ascii="仿宋_GB2312" w:hAnsi="宋体"/>
          <w:color w:val="000000"/>
          <w:sz w:val="24"/>
        </w:rPr>
        <w:t>本合同一式六份，正本两份，由甲乙双方各执一份，副本四份，由甲方执三份，乙方执一份，正副本具有同等法律效力，待甲乙双方签字盖章后生效，本合同内容履行完成后失</w:t>
      </w:r>
    </w:p>
    <w:p>
      <w:pPr>
        <w:pStyle w:val="405"/>
        <w:rPr>
          <w:b/>
          <w:bCs/>
          <w:sz w:val="28"/>
          <w:szCs w:val="28"/>
        </w:rPr>
      </w:pPr>
    </w:p>
    <w:p>
      <w:pPr>
        <w:pStyle w:val="405"/>
        <w:rPr>
          <w:b/>
          <w:bCs/>
          <w:sz w:val="28"/>
          <w:szCs w:val="28"/>
        </w:rPr>
      </w:pPr>
    </w:p>
    <w:p>
      <w:pPr>
        <w:pStyle w:val="405"/>
        <w:rPr>
          <w:b/>
          <w:bCs/>
          <w:sz w:val="28"/>
          <w:szCs w:val="28"/>
        </w:rPr>
      </w:pPr>
    </w:p>
    <w:p>
      <w:pPr>
        <w:pStyle w:val="405"/>
        <w:rPr>
          <w:sz w:val="28"/>
          <w:szCs w:val="28"/>
        </w:rPr>
      </w:pPr>
      <w:r>
        <w:rPr>
          <w:b/>
          <w:bCs/>
          <w:sz w:val="28"/>
          <w:szCs w:val="28"/>
        </w:rPr>
        <w:t>甲方（盖章）：</w:t>
      </w:r>
      <w:r>
        <w:rPr>
          <w:rFonts w:hint="eastAsia" w:ascii="仿宋_GB2312" w:hAnsi="宋体"/>
          <w:color w:val="000000"/>
          <w:sz w:val="28"/>
          <w:szCs w:val="28"/>
        </w:rPr>
        <w:t>重庆机场集团有限公司</w:t>
      </w:r>
    </w:p>
    <w:p>
      <w:pPr>
        <w:pStyle w:val="405"/>
        <w:ind w:firstLine="420"/>
        <w:rPr>
          <w:sz w:val="28"/>
          <w:szCs w:val="28"/>
        </w:rPr>
      </w:pPr>
      <w:r>
        <w:rPr>
          <w:sz w:val="28"/>
          <w:szCs w:val="28"/>
        </w:rPr>
        <w:t>法定代表人或授权代表（签字）：</w:t>
      </w:r>
    </w:p>
    <w:p>
      <w:pPr>
        <w:pStyle w:val="405"/>
        <w:ind w:left="0" w:leftChars="0" w:firstLine="0" w:firstLineChars="0"/>
        <w:rPr>
          <w:b/>
          <w:bCs/>
          <w:sz w:val="28"/>
          <w:szCs w:val="28"/>
        </w:rPr>
      </w:pPr>
    </w:p>
    <w:p>
      <w:pPr>
        <w:pStyle w:val="405"/>
        <w:ind w:left="701" w:leftChars="200" w:hanging="281" w:hangingChars="100"/>
        <w:rPr>
          <w:sz w:val="28"/>
          <w:szCs w:val="28"/>
        </w:rPr>
      </w:pPr>
      <w:r>
        <w:rPr>
          <w:b/>
          <w:bCs/>
          <w:sz w:val="28"/>
          <w:szCs w:val="28"/>
        </w:rPr>
        <w:t>乙方（盖章）：</w:t>
      </w:r>
    </w:p>
    <w:p>
      <w:pPr>
        <w:pStyle w:val="405"/>
        <w:ind w:firstLine="420"/>
        <w:rPr>
          <w:rFonts w:ascii="等线" w:hAnsi="等线" w:eastAsia="等线"/>
          <w:sz w:val="28"/>
          <w:szCs w:val="28"/>
        </w:rPr>
      </w:pPr>
      <w:r>
        <w:rPr>
          <w:sz w:val="28"/>
          <w:szCs w:val="28"/>
        </w:rPr>
        <w:t>法定代表人或授权代表（签字）：</w:t>
      </w:r>
    </w:p>
    <w:p>
      <w:pPr>
        <w:rPr>
          <w:rFonts w:hint="eastAsia" w:ascii="仿宋_GB2312" w:hAnsi="宋体"/>
          <w:color w:val="000000"/>
          <w:sz w:val="28"/>
          <w:szCs w:val="28"/>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r>
        <w:rPr>
          <w:rFonts w:hint="eastAsia" w:ascii="仿宋_GB2312" w:hAnsi="宋体"/>
          <w:color w:val="000000"/>
          <w:sz w:val="28"/>
          <w:szCs w:val="28"/>
        </w:rPr>
        <w:t>签订日期：</w:t>
      </w:r>
    </w:p>
    <w:p>
      <w:pPr>
        <w:spacing w:line="360" w:lineRule="auto"/>
        <w:ind w:firstLine="480"/>
      </w:pPr>
      <w:r>
        <w:rPr>
          <w:rFonts w:hint="eastAsia" w:ascii="仿宋_GB2312" w:hAnsi="宋体"/>
          <w:color w:val="000000"/>
          <w:sz w:val="28"/>
          <w:szCs w:val="28"/>
        </w:rPr>
        <w:t xml:space="preserve">   签订地点：重庆江北国际机场</w:t>
      </w: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color w:val="FF0000"/>
          <w:sz w:val="32"/>
          <w:szCs w:val="32"/>
        </w:rPr>
      </w:pPr>
      <w:r>
        <w:rPr>
          <w:rFonts w:hint="eastAsia" w:ascii="仿宋" w:hAnsi="仿宋" w:eastAsia="仿宋"/>
          <w:b/>
          <w:color w:val="FF0000"/>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numPr>
          <w:ilvl w:val="0"/>
          <w:numId w:val="5"/>
        </w:numPr>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color w:val="FF0000"/>
          <w:sz w:val="28"/>
          <w:szCs w:val="28"/>
          <w:highlight w:val="yellow"/>
          <w:u w:val="single"/>
        </w:rPr>
        <w:tab/>
      </w:r>
      <w:r>
        <w:rPr>
          <w:rFonts w:hint="eastAsia" w:ascii="仿宋" w:hAnsi="仿宋" w:eastAsia="仿宋"/>
          <w:color w:val="FF0000"/>
          <w:sz w:val="28"/>
          <w:szCs w:val="28"/>
          <w:highlight w:val="yellow"/>
          <w:u w:val="single"/>
          <w:lang w:eastAsia="zh-CN"/>
        </w:rPr>
        <w:t>重庆机场</w:t>
      </w:r>
      <w:r>
        <w:rPr>
          <w:rFonts w:hint="eastAsia" w:ascii="宋体" w:hAnsi="宋体"/>
          <w:color w:val="FF0000"/>
          <w:sz w:val="24"/>
          <w:lang w:val="en-US" w:eastAsia="zh-CN"/>
        </w:rPr>
        <w:t>女</w:t>
      </w:r>
      <w:r>
        <w:rPr>
          <w:rFonts w:hint="eastAsia" w:ascii="宋体" w:hAnsi="宋体"/>
          <w:color w:val="FF0000"/>
          <w:sz w:val="24"/>
        </w:rPr>
        <w:t>职工</w:t>
      </w:r>
      <w:r>
        <w:rPr>
          <w:rFonts w:hint="eastAsia" w:ascii="宋体" w:hAnsi="宋体"/>
          <w:color w:val="FF0000"/>
          <w:sz w:val="24"/>
          <w:lang w:eastAsia="zh-CN"/>
        </w:rPr>
        <w:t>市内医院</w:t>
      </w:r>
      <w:r>
        <w:rPr>
          <w:rFonts w:hint="eastAsia" w:ascii="宋体" w:hAnsi="宋体"/>
          <w:color w:val="FF0000"/>
          <w:sz w:val="24"/>
        </w:rPr>
        <w:t>健康体检服务项目</w:t>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ascii="宋体" w:hAnsi="宋体"/>
          <w:color w:val="FF0000"/>
          <w:sz w:val="24"/>
        </w:rPr>
        <w:t>总报价</w:t>
      </w:r>
      <w:r>
        <w:rPr>
          <w:rFonts w:hint="eastAsia" w:ascii="仿宋" w:hAnsi="仿宋" w:eastAsia="仿宋"/>
          <w:sz w:val="28"/>
          <w:szCs w:val="28"/>
        </w:rPr>
        <w:t>，</w:t>
      </w:r>
      <w:r>
        <w:rPr>
          <w:rFonts w:ascii="宋体" w:hAnsi="宋体"/>
          <w:color w:val="000000"/>
          <w:sz w:val="24"/>
        </w:rPr>
        <w:t>按合同约定实施和完成</w:t>
      </w:r>
      <w:r>
        <w:rPr>
          <w:rFonts w:hint="eastAsia" w:ascii="宋体" w:hAnsi="宋体"/>
          <w:color w:val="000000"/>
          <w:sz w:val="24"/>
        </w:rPr>
        <w:t>体检</w:t>
      </w:r>
      <w:r>
        <w:rPr>
          <w:rFonts w:ascii="宋体" w:hAnsi="宋体"/>
          <w:color w:val="000000"/>
          <w:sz w:val="24"/>
        </w:rPr>
        <w:t>项目的全部工作。</w:t>
      </w: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lang w:val="en-US" w:eastAsia="zh-CN"/>
              </w:rPr>
              <w:t>女</w:t>
            </w: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lang w:val="en-US" w:eastAsia="zh-CN"/>
              </w:rPr>
              <w:t>已婚项目</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shd w:val="clear" w:color="auto" w:fill="auto"/>
                <w:lang w:val="en-US" w:eastAsia="zh-CN"/>
              </w:rPr>
              <w:t>1240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lang w:val="en-US" w:eastAsia="zh-CN"/>
              </w:rPr>
              <w:t>未婚项目</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shd w:val="clear" w:color="auto" w:fill="auto"/>
                <w:lang w:val="en-US" w:eastAsia="zh-CN"/>
              </w:rPr>
              <w:t>590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 w:val="24"/>
                <w:szCs w:val="32"/>
                <w:lang w:eastAsia="zh-CN"/>
              </w:rPr>
              <w:t>项目清单详见附件</w:t>
            </w:r>
            <w:r>
              <w:rPr>
                <w:rFonts w:hint="eastAsia" w:ascii="宋体" w:hAnsi="宋体"/>
                <w:snapToGrid/>
                <w:color w:val="000000"/>
                <w:spacing w:val="0"/>
                <w:kern w:val="2"/>
                <w:sz w:val="24"/>
                <w:szCs w:val="32"/>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最终按每年实际参加人数和相应的体检</w:t>
            </w:r>
            <w:r>
              <w:rPr>
                <w:rFonts w:hint="eastAsia" w:ascii="宋体" w:hAnsi="宋体"/>
                <w:snapToGrid/>
                <w:color w:val="000000"/>
                <w:spacing w:val="0"/>
                <w:kern w:val="2"/>
                <w:szCs w:val="24"/>
                <w:lang w:val="en-US" w:eastAsia="zh-CN"/>
              </w:rPr>
              <w:t>项目</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lang w:val="en-US" w:eastAsia="zh-CN"/>
              </w:rPr>
              <w:t>据实</w:t>
            </w:r>
            <w:r>
              <w:rPr>
                <w:rFonts w:hint="eastAsia" w:ascii="宋体" w:hAnsi="宋体"/>
                <w:snapToGrid/>
                <w:color w:val="000000"/>
                <w:spacing w:val="0"/>
                <w:kern w:val="2"/>
                <w:szCs w:val="24"/>
              </w:rPr>
              <w:t>结算。</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673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hint="eastAsia" w:ascii="仿宋" w:hAnsi="仿宋" w:eastAsia="仿宋"/>
          <w:kern w:val="0"/>
          <w:sz w:val="28"/>
          <w:szCs w:val="28"/>
          <w:lang w:val="en-US" w:eastAsia="zh-CN"/>
        </w:rPr>
        <w:t xml:space="preserve">   </w:t>
      </w:r>
      <w:r>
        <w:rPr>
          <w:rFonts w:ascii="仿宋" w:hAnsi="仿宋" w:eastAsia="仿宋"/>
          <w:kern w:val="0"/>
          <w:sz w:val="28"/>
          <w:szCs w:val="28"/>
          <w:u w:val="single"/>
        </w:rPr>
        <w:tab/>
      </w:r>
      <w:r>
        <w:rPr>
          <w:rFonts w:hint="eastAsia" w:ascii="仿宋" w:hAnsi="仿宋" w:eastAsia="仿宋"/>
          <w:kern w:val="0"/>
          <w:sz w:val="28"/>
          <w:szCs w:val="28"/>
        </w:rPr>
        <w:t xml:space="preserve"> 职务：</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ind w:firstLine="843" w:firstLineChars="3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w:t>
      </w:r>
      <w:r>
        <w:rPr>
          <w:rFonts w:hint="eastAsia" w:ascii="仿宋" w:hAnsi="仿宋" w:eastAsia="仿宋"/>
          <w:sz w:val="28"/>
          <w:szCs w:val="28"/>
          <w:lang w:eastAsia="zh-CN"/>
        </w:rPr>
        <w:t>采购方</w:t>
      </w:r>
      <w:r>
        <w:rPr>
          <w:rFonts w:hint="eastAsia" w:ascii="仿宋" w:hAnsi="仿宋" w:eastAsia="仿宋"/>
          <w:sz w:val="28"/>
          <w:szCs w:val="28"/>
        </w:rPr>
        <w:t>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pPr>
    </w:p>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4</w:t>
      </w:r>
      <w:r>
        <w:rPr>
          <w:rFonts w:hint="eastAsia" w:ascii="仿宋" w:hAnsi="仿宋" w:eastAsia="仿宋"/>
          <w:b/>
          <w:bCs/>
          <w:sz w:val="28"/>
          <w:szCs w:val="28"/>
        </w:rPr>
        <w:t>：</w:t>
      </w:r>
    </w:p>
    <w:p>
      <w:pPr>
        <w:pStyle w:val="232"/>
        <w:adjustRightInd w:val="0"/>
        <w:snapToGrid w:val="0"/>
        <w:spacing w:before="240" w:after="120" w:line="360" w:lineRule="auto"/>
        <w:jc w:val="center"/>
        <w:rPr>
          <w:rFonts w:hint="eastAsia" w:ascii="宋体" w:hAnsi="宋体"/>
          <w:b/>
          <w:color w:val="000000"/>
          <w:sz w:val="24"/>
          <w:szCs w:val="24"/>
          <w:shd w:val="clear" w:color="auto" w:fill="auto"/>
        </w:rPr>
      </w:pPr>
      <w:r>
        <w:rPr>
          <w:rFonts w:hint="eastAsia" w:ascii="宋体" w:hAnsi="宋体"/>
          <w:b/>
          <w:color w:val="000000"/>
          <w:sz w:val="24"/>
          <w:szCs w:val="24"/>
          <w:shd w:val="clear" w:color="auto" w:fill="auto"/>
        </w:rPr>
        <w:t>重庆机场</w:t>
      </w:r>
      <w:r>
        <w:rPr>
          <w:rFonts w:hint="eastAsia" w:ascii="宋体" w:hAnsi="宋体"/>
          <w:b/>
          <w:color w:val="000000"/>
          <w:sz w:val="24"/>
          <w:szCs w:val="24"/>
          <w:shd w:val="clear" w:color="auto" w:fill="auto"/>
          <w:lang w:val="en-US" w:eastAsia="zh-CN"/>
        </w:rPr>
        <w:t>女</w:t>
      </w:r>
      <w:r>
        <w:rPr>
          <w:rFonts w:hint="eastAsia" w:ascii="宋体" w:hAnsi="宋体"/>
          <w:b/>
          <w:color w:val="000000"/>
          <w:sz w:val="24"/>
          <w:szCs w:val="24"/>
          <w:shd w:val="clear" w:color="auto" w:fill="auto"/>
        </w:rPr>
        <w:t>职工健康体检项目</w:t>
      </w:r>
    </w:p>
    <w:tbl>
      <w:tblPr>
        <w:tblStyle w:val="68"/>
        <w:tblW w:w="95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67"/>
        <w:gridCol w:w="2481"/>
        <w:gridCol w:w="3331"/>
        <w:gridCol w:w="1134"/>
        <w:gridCol w:w="1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96"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3048" w:type="dxa"/>
            <w:gridSpan w:val="2"/>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333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备注</w:t>
            </w:r>
          </w:p>
        </w:tc>
        <w:tc>
          <w:tcPr>
            <w:tcW w:w="1134"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价格</w:t>
            </w:r>
          </w:p>
        </w:tc>
        <w:tc>
          <w:tcPr>
            <w:tcW w:w="1192"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567"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已</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婚</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项</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目</w:t>
            </w:r>
          </w:p>
        </w:tc>
        <w:tc>
          <w:tcPr>
            <w:tcW w:w="248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双侧乳腺彩超</w:t>
            </w:r>
          </w:p>
        </w:tc>
        <w:tc>
          <w:tcPr>
            <w:tcW w:w="333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w:t>
            </w:r>
          </w:p>
        </w:tc>
        <w:tc>
          <w:tcPr>
            <w:tcW w:w="1134"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567"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c>
          <w:tcPr>
            <w:tcW w:w="248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子宫附件彩超（阴式）</w:t>
            </w:r>
          </w:p>
        </w:tc>
        <w:tc>
          <w:tcPr>
            <w:tcW w:w="333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子宫、输卵管、卵巢及附件</w:t>
            </w:r>
          </w:p>
        </w:tc>
        <w:tc>
          <w:tcPr>
            <w:tcW w:w="1134"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妇科检查</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内阴、阴道、外阴检查等</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白带常规</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滴虫、霉菌、清洁度、细菌性</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TCT液基细胞学检查</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TCT</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567" w:type="dxa"/>
            <w:vMerge w:val="restart"/>
            <w:tcBorders>
              <w:top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未</w:t>
            </w:r>
          </w:p>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婚</w:t>
            </w:r>
          </w:p>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项</w:t>
            </w:r>
          </w:p>
          <w:p>
            <w:pPr>
              <w:spacing w:line="360" w:lineRule="exact"/>
              <w:ind w:firstLine="0" w:firstLineChars="0"/>
              <w:jc w:val="center"/>
              <w:rPr>
                <w:rFonts w:ascii="宋体" w:hAnsi="宋体"/>
                <w:color w:val="000000"/>
              </w:rPr>
            </w:pPr>
            <w:r>
              <w:rPr>
                <w:rFonts w:hint="eastAsia" w:ascii="宋体" w:hAnsi="宋体"/>
                <w:color w:val="000000"/>
                <w:sz w:val="24"/>
                <w:szCs w:val="24"/>
              </w:rPr>
              <w:t>目</w:t>
            </w: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双侧乳腺彩超</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567" w:type="dxa"/>
            <w:vMerge w:val="continue"/>
            <w:tcBorders>
              <w:right w:val="single" w:color="auto" w:sz="2" w:space="0"/>
            </w:tcBorders>
            <w:vAlign w:val="center"/>
          </w:tcPr>
          <w:p>
            <w:pPr>
              <w:spacing w:line="360" w:lineRule="exact"/>
              <w:ind w:firstLine="0" w:firstLineChars="0"/>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子宫附件彩超（腹部）</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子宫、输卵管、卵巢及附件</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567" w:type="dxa"/>
            <w:vMerge w:val="continue"/>
            <w:tcBorders>
              <w:right w:val="single" w:color="auto" w:sz="2" w:space="0"/>
            </w:tcBorders>
            <w:vAlign w:val="center"/>
          </w:tcPr>
          <w:p>
            <w:pPr>
              <w:spacing w:line="360" w:lineRule="exact"/>
              <w:ind w:firstLine="0" w:firstLineChars="0"/>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right w:val="single" w:color="auto" w:sz="2" w:space="0"/>
            </w:tcBorders>
            <w:vAlign w:val="center"/>
          </w:tcPr>
          <w:p>
            <w:pPr>
              <w:ind w:firstLine="0" w:firstLineChars="0"/>
              <w:jc w:val="center"/>
              <w:rPr>
                <w:rFonts w:ascii="宋体" w:hAnsi="宋体"/>
                <w:color w:val="000000"/>
                <w:sz w:val="24"/>
              </w:rPr>
            </w:pPr>
            <w:r>
              <w:rPr>
                <w:rFonts w:hint="eastAsia" w:ascii="宋体" w:hAnsi="宋体"/>
                <w:color w:val="000000"/>
                <w:sz w:val="24"/>
              </w:rPr>
              <w:t>备注</w:t>
            </w:r>
          </w:p>
        </w:tc>
        <w:tc>
          <w:tcPr>
            <w:tcW w:w="8705" w:type="dxa"/>
            <w:gridSpan w:val="5"/>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按每年实际参加人数和相应的体检</w:t>
            </w:r>
            <w:r>
              <w:rPr>
                <w:rFonts w:hint="eastAsia" w:ascii="宋体" w:hAnsi="宋体"/>
                <w:snapToGrid/>
                <w:color w:val="000000"/>
                <w:spacing w:val="0"/>
                <w:kern w:val="2"/>
                <w:szCs w:val="24"/>
                <w:lang w:eastAsia="zh-CN"/>
              </w:rPr>
              <w:t>项目</w:t>
            </w:r>
            <w:r>
              <w:rPr>
                <w:rFonts w:hint="eastAsia" w:ascii="宋体" w:hAnsi="宋体"/>
                <w:snapToGrid/>
                <w:color w:val="000000"/>
                <w:spacing w:val="0"/>
                <w:kern w:val="2"/>
                <w:szCs w:val="24"/>
              </w:rPr>
              <w:t>结算。</w:t>
            </w:r>
          </w:p>
        </w:tc>
      </w:tr>
    </w:tbl>
    <w:p>
      <w:pPr>
        <w:snapToGrid w:val="0"/>
        <w:spacing w:line="360" w:lineRule="auto"/>
        <w:rPr>
          <w:rFonts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5</w:t>
      </w:r>
      <w:r>
        <w:rPr>
          <w:rFonts w:hint="eastAsia" w:ascii="仿宋" w:hAnsi="仿宋" w:eastAsia="仿宋"/>
          <w:b/>
          <w:bCs/>
          <w:sz w:val="28"/>
          <w:szCs w:val="28"/>
        </w:rPr>
        <w:t>：</w:t>
      </w:r>
    </w:p>
    <w:p>
      <w:pPr>
        <w:pStyle w:val="2"/>
        <w:jc w:val="both"/>
        <w:rPr>
          <w:rFonts w:hint="default"/>
          <w:shd w:val="clear" w:color="auto" w:fill="auto"/>
          <w:lang w:val="en-US" w:eastAsia="zh-CN"/>
        </w:rPr>
      </w:pPr>
      <w:r>
        <w:rPr>
          <w:rFonts w:hint="eastAsia" w:ascii="仿宋" w:hAnsi="仿宋" w:eastAsia="仿宋"/>
          <w:b/>
          <w:sz w:val="32"/>
          <w:szCs w:val="32"/>
          <w:shd w:val="clear" w:color="auto" w:fill="auto"/>
          <w:lang w:val="en-US" w:eastAsia="zh-CN"/>
        </w:rPr>
        <w:t>体检服务要求应答自制表格。</w:t>
      </w: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宋二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lang w:eastAsia="zh-CN"/>
      </w:rPr>
      <w:t>重庆机场</w:t>
    </w:r>
    <w:r>
      <w:rPr>
        <w:rFonts w:hint="eastAsia"/>
        <w:lang w:val="en-US" w:eastAsia="zh-CN"/>
      </w:rPr>
      <w:t>女</w:t>
    </w:r>
    <w:r>
      <w:rPr>
        <w:rFonts w:hint="eastAsia"/>
        <w:lang w:eastAsia="zh-CN"/>
      </w:rPr>
      <w:t>职工健康体检服务采购文件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B8ADA"/>
    <w:multiLevelType w:val="singleLevel"/>
    <w:tmpl w:val="A59B8ADA"/>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4"/>
    <w:multiLevelType w:val="singleLevel"/>
    <w:tmpl w:val="00000004"/>
    <w:lvl w:ilvl="0" w:tentative="0">
      <w:start w:val="2"/>
      <w:numFmt w:val="chineseCounting"/>
      <w:pStyle w:val="304"/>
      <w:suff w:val="nothing"/>
      <w:lvlText w:val="%1、"/>
      <w:lvlJc w:val="left"/>
      <w:rPr>
        <w:rFonts w:cs="Times New Roman"/>
      </w:rPr>
    </w:lvl>
  </w:abstractNum>
  <w:abstractNum w:abstractNumId="3">
    <w:nsid w:val="162CA736"/>
    <w:multiLevelType w:val="singleLevel"/>
    <w:tmpl w:val="162CA736"/>
    <w:lvl w:ilvl="0" w:tentative="0">
      <w:start w:val="1"/>
      <w:numFmt w:val="decimal"/>
      <w:suff w:val="nothing"/>
      <w:lvlText w:val="%1．"/>
      <w:lvlJc w:val="left"/>
    </w:lvl>
  </w:abstractNum>
  <w:abstractNum w:abstractNumId="4">
    <w:nsid w:val="581947BF"/>
    <w:multiLevelType w:val="singleLevel"/>
    <w:tmpl w:val="581947BF"/>
    <w:lvl w:ilvl="0" w:tentative="0">
      <w:start w:val="1"/>
      <w:numFmt w:val="chineseCounting"/>
      <w:suff w:val="nothing"/>
      <w:lvlText w:val="%1、"/>
      <w:lvlJc w:val="left"/>
    </w:lvl>
  </w:abstractNum>
  <w:num w:numId="1">
    <w:abstractNumId w:val="1"/>
    <w:lvlOverride w:ilvl="0">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1CB1"/>
    <w:rsid w:val="00512B48"/>
    <w:rsid w:val="0052266E"/>
    <w:rsid w:val="00527A62"/>
    <w:rsid w:val="00543B58"/>
    <w:rsid w:val="00550BF1"/>
    <w:rsid w:val="0055487E"/>
    <w:rsid w:val="00564FB5"/>
    <w:rsid w:val="00566ECB"/>
    <w:rsid w:val="00575715"/>
    <w:rsid w:val="005766B4"/>
    <w:rsid w:val="0058393D"/>
    <w:rsid w:val="005863EB"/>
    <w:rsid w:val="00590782"/>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157BE"/>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5D3E"/>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96EB8"/>
    <w:rsid w:val="00FA17E2"/>
    <w:rsid w:val="00FA6503"/>
    <w:rsid w:val="00FB4220"/>
    <w:rsid w:val="00FD5A31"/>
    <w:rsid w:val="00FE069F"/>
    <w:rsid w:val="00FE7DA0"/>
    <w:rsid w:val="00FF1C7D"/>
    <w:rsid w:val="00FF5E49"/>
    <w:rsid w:val="018E717F"/>
    <w:rsid w:val="01A5588C"/>
    <w:rsid w:val="01CE73BF"/>
    <w:rsid w:val="021E55FD"/>
    <w:rsid w:val="02277683"/>
    <w:rsid w:val="0254509B"/>
    <w:rsid w:val="02551810"/>
    <w:rsid w:val="029F2426"/>
    <w:rsid w:val="0370515C"/>
    <w:rsid w:val="03BC5AE8"/>
    <w:rsid w:val="03BF6AD0"/>
    <w:rsid w:val="03C30613"/>
    <w:rsid w:val="03C5755B"/>
    <w:rsid w:val="0407767D"/>
    <w:rsid w:val="04693CC9"/>
    <w:rsid w:val="04932F7A"/>
    <w:rsid w:val="050A56CC"/>
    <w:rsid w:val="055B52B8"/>
    <w:rsid w:val="05A467F6"/>
    <w:rsid w:val="061D53AF"/>
    <w:rsid w:val="06926D13"/>
    <w:rsid w:val="06A508B0"/>
    <w:rsid w:val="06B0704C"/>
    <w:rsid w:val="06CF199F"/>
    <w:rsid w:val="072F26CB"/>
    <w:rsid w:val="07500031"/>
    <w:rsid w:val="07513B89"/>
    <w:rsid w:val="07672918"/>
    <w:rsid w:val="07A314C6"/>
    <w:rsid w:val="080F1D8B"/>
    <w:rsid w:val="08396A89"/>
    <w:rsid w:val="086126B4"/>
    <w:rsid w:val="088555EF"/>
    <w:rsid w:val="08A55EF6"/>
    <w:rsid w:val="097C4B37"/>
    <w:rsid w:val="0A7C492C"/>
    <w:rsid w:val="0AB45ABD"/>
    <w:rsid w:val="0B0812FF"/>
    <w:rsid w:val="0B122DC9"/>
    <w:rsid w:val="0B227BE4"/>
    <w:rsid w:val="0B334DF0"/>
    <w:rsid w:val="0B4734A5"/>
    <w:rsid w:val="0BBD027A"/>
    <w:rsid w:val="0BF54C14"/>
    <w:rsid w:val="0C401AF9"/>
    <w:rsid w:val="0C581EC4"/>
    <w:rsid w:val="0C9922D4"/>
    <w:rsid w:val="0C9D5CDF"/>
    <w:rsid w:val="0C9E6AD1"/>
    <w:rsid w:val="0CAD03F8"/>
    <w:rsid w:val="0CB3329B"/>
    <w:rsid w:val="0D8401DD"/>
    <w:rsid w:val="0DE21A67"/>
    <w:rsid w:val="0F5179C9"/>
    <w:rsid w:val="0F76193C"/>
    <w:rsid w:val="0FB20CEE"/>
    <w:rsid w:val="0FE16A01"/>
    <w:rsid w:val="101B284F"/>
    <w:rsid w:val="10A42591"/>
    <w:rsid w:val="10B604EC"/>
    <w:rsid w:val="114C1766"/>
    <w:rsid w:val="11E43717"/>
    <w:rsid w:val="11FA5343"/>
    <w:rsid w:val="121F07EB"/>
    <w:rsid w:val="122F5633"/>
    <w:rsid w:val="123B215A"/>
    <w:rsid w:val="12822F4B"/>
    <w:rsid w:val="12A53375"/>
    <w:rsid w:val="12D97B76"/>
    <w:rsid w:val="130B3628"/>
    <w:rsid w:val="130B7007"/>
    <w:rsid w:val="13A51C33"/>
    <w:rsid w:val="145933AE"/>
    <w:rsid w:val="151419A2"/>
    <w:rsid w:val="15925856"/>
    <w:rsid w:val="15D77524"/>
    <w:rsid w:val="160C3207"/>
    <w:rsid w:val="160D1F38"/>
    <w:rsid w:val="16126E97"/>
    <w:rsid w:val="16301051"/>
    <w:rsid w:val="164A75C7"/>
    <w:rsid w:val="16735D45"/>
    <w:rsid w:val="16A20FF5"/>
    <w:rsid w:val="16D72D07"/>
    <w:rsid w:val="16F13877"/>
    <w:rsid w:val="17A51991"/>
    <w:rsid w:val="17AC4F30"/>
    <w:rsid w:val="17DA210E"/>
    <w:rsid w:val="17E515C3"/>
    <w:rsid w:val="17F361D3"/>
    <w:rsid w:val="180C520A"/>
    <w:rsid w:val="181311B1"/>
    <w:rsid w:val="18317223"/>
    <w:rsid w:val="1859568A"/>
    <w:rsid w:val="187F7046"/>
    <w:rsid w:val="18A04ACF"/>
    <w:rsid w:val="18D679B4"/>
    <w:rsid w:val="18EB7DEF"/>
    <w:rsid w:val="190C412F"/>
    <w:rsid w:val="19163A53"/>
    <w:rsid w:val="193B7F2A"/>
    <w:rsid w:val="19571A6F"/>
    <w:rsid w:val="198D29F8"/>
    <w:rsid w:val="19CB2E23"/>
    <w:rsid w:val="1A4A49E3"/>
    <w:rsid w:val="1A606346"/>
    <w:rsid w:val="1A8310E8"/>
    <w:rsid w:val="1AE76FFF"/>
    <w:rsid w:val="1B100D3B"/>
    <w:rsid w:val="1B5E195E"/>
    <w:rsid w:val="1BC478BA"/>
    <w:rsid w:val="1BEF2FE2"/>
    <w:rsid w:val="1C2D30C9"/>
    <w:rsid w:val="1C482FCA"/>
    <w:rsid w:val="1C974ABD"/>
    <w:rsid w:val="1D671920"/>
    <w:rsid w:val="1E0E7E43"/>
    <w:rsid w:val="1E5A5F33"/>
    <w:rsid w:val="1E6D4DA1"/>
    <w:rsid w:val="1EE96EE7"/>
    <w:rsid w:val="1F35392A"/>
    <w:rsid w:val="1F4A6A61"/>
    <w:rsid w:val="1F4D0F1A"/>
    <w:rsid w:val="201F22AC"/>
    <w:rsid w:val="20604416"/>
    <w:rsid w:val="20815E01"/>
    <w:rsid w:val="208379F6"/>
    <w:rsid w:val="20942C39"/>
    <w:rsid w:val="21250DA7"/>
    <w:rsid w:val="212D69FF"/>
    <w:rsid w:val="213057BC"/>
    <w:rsid w:val="215E17C2"/>
    <w:rsid w:val="2186580D"/>
    <w:rsid w:val="218B0A27"/>
    <w:rsid w:val="219429A4"/>
    <w:rsid w:val="22F97868"/>
    <w:rsid w:val="233E2B11"/>
    <w:rsid w:val="234163DB"/>
    <w:rsid w:val="2344589D"/>
    <w:rsid w:val="23872D9D"/>
    <w:rsid w:val="23A460A4"/>
    <w:rsid w:val="23C80B8F"/>
    <w:rsid w:val="23EA1AD9"/>
    <w:rsid w:val="245250BB"/>
    <w:rsid w:val="24CC247B"/>
    <w:rsid w:val="24E13351"/>
    <w:rsid w:val="25266AE7"/>
    <w:rsid w:val="25994A61"/>
    <w:rsid w:val="261D1A83"/>
    <w:rsid w:val="26217230"/>
    <w:rsid w:val="263163ED"/>
    <w:rsid w:val="266B349B"/>
    <w:rsid w:val="268F78F5"/>
    <w:rsid w:val="26B674A9"/>
    <w:rsid w:val="26DF36D3"/>
    <w:rsid w:val="273B5D37"/>
    <w:rsid w:val="27933320"/>
    <w:rsid w:val="28141547"/>
    <w:rsid w:val="282652A8"/>
    <w:rsid w:val="28A1155A"/>
    <w:rsid w:val="28B47873"/>
    <w:rsid w:val="29453BF9"/>
    <w:rsid w:val="29947427"/>
    <w:rsid w:val="29BA473F"/>
    <w:rsid w:val="29C6264A"/>
    <w:rsid w:val="2A155C22"/>
    <w:rsid w:val="2A180004"/>
    <w:rsid w:val="2AB051C9"/>
    <w:rsid w:val="2AB34BD7"/>
    <w:rsid w:val="2ABB6FD4"/>
    <w:rsid w:val="2B046EEC"/>
    <w:rsid w:val="2B095FCD"/>
    <w:rsid w:val="2B3542A3"/>
    <w:rsid w:val="2B71215C"/>
    <w:rsid w:val="2BA80725"/>
    <w:rsid w:val="2BD22376"/>
    <w:rsid w:val="2BD72CF4"/>
    <w:rsid w:val="2C075120"/>
    <w:rsid w:val="2C230EAA"/>
    <w:rsid w:val="2C3F4E0D"/>
    <w:rsid w:val="2C4E053F"/>
    <w:rsid w:val="2CA41765"/>
    <w:rsid w:val="2D557D04"/>
    <w:rsid w:val="2D8B50DF"/>
    <w:rsid w:val="2DE11E12"/>
    <w:rsid w:val="2E484F48"/>
    <w:rsid w:val="2E910C23"/>
    <w:rsid w:val="2ECE1536"/>
    <w:rsid w:val="2F7A5FA8"/>
    <w:rsid w:val="2FBB2F93"/>
    <w:rsid w:val="2FF95C0E"/>
    <w:rsid w:val="30232631"/>
    <w:rsid w:val="30995546"/>
    <w:rsid w:val="30E84A3E"/>
    <w:rsid w:val="31165CEC"/>
    <w:rsid w:val="313E2331"/>
    <w:rsid w:val="31A36F32"/>
    <w:rsid w:val="31A46224"/>
    <w:rsid w:val="31D36D83"/>
    <w:rsid w:val="32377B4F"/>
    <w:rsid w:val="325B443D"/>
    <w:rsid w:val="327F6E7B"/>
    <w:rsid w:val="32A05DFD"/>
    <w:rsid w:val="32A36885"/>
    <w:rsid w:val="3339524A"/>
    <w:rsid w:val="34005012"/>
    <w:rsid w:val="34673006"/>
    <w:rsid w:val="348F7512"/>
    <w:rsid w:val="34C32050"/>
    <w:rsid w:val="35100B78"/>
    <w:rsid w:val="354A72F5"/>
    <w:rsid w:val="35692023"/>
    <w:rsid w:val="358772C9"/>
    <w:rsid w:val="36172E16"/>
    <w:rsid w:val="36263E58"/>
    <w:rsid w:val="36280B64"/>
    <w:rsid w:val="36734957"/>
    <w:rsid w:val="36C349FC"/>
    <w:rsid w:val="36D003F2"/>
    <w:rsid w:val="37A528D8"/>
    <w:rsid w:val="38333537"/>
    <w:rsid w:val="38BA4CF1"/>
    <w:rsid w:val="38FA1B4F"/>
    <w:rsid w:val="3959460D"/>
    <w:rsid w:val="396D57A7"/>
    <w:rsid w:val="3972265D"/>
    <w:rsid w:val="39B8115C"/>
    <w:rsid w:val="39D76381"/>
    <w:rsid w:val="3A175922"/>
    <w:rsid w:val="3A69693F"/>
    <w:rsid w:val="3A69773C"/>
    <w:rsid w:val="3A7B7A75"/>
    <w:rsid w:val="3A81193A"/>
    <w:rsid w:val="3A9C6630"/>
    <w:rsid w:val="3AEA4A13"/>
    <w:rsid w:val="3B1B4E34"/>
    <w:rsid w:val="3B976A5C"/>
    <w:rsid w:val="3B9B5B4A"/>
    <w:rsid w:val="3BCA172D"/>
    <w:rsid w:val="3C0574B5"/>
    <w:rsid w:val="3C2F2A0B"/>
    <w:rsid w:val="3C6820C6"/>
    <w:rsid w:val="3C835F87"/>
    <w:rsid w:val="3C8E65A8"/>
    <w:rsid w:val="3C9C3942"/>
    <w:rsid w:val="3CFD0B38"/>
    <w:rsid w:val="3CFE5408"/>
    <w:rsid w:val="3D106C95"/>
    <w:rsid w:val="3D7F2A26"/>
    <w:rsid w:val="3DE61B15"/>
    <w:rsid w:val="3DFA44AE"/>
    <w:rsid w:val="3E1B4A57"/>
    <w:rsid w:val="3E2F2A49"/>
    <w:rsid w:val="3EC95C23"/>
    <w:rsid w:val="3ECF7125"/>
    <w:rsid w:val="3EDA56F8"/>
    <w:rsid w:val="3EEB0835"/>
    <w:rsid w:val="3EEB79B4"/>
    <w:rsid w:val="400C0FB9"/>
    <w:rsid w:val="40972F83"/>
    <w:rsid w:val="40B6558A"/>
    <w:rsid w:val="40D42A31"/>
    <w:rsid w:val="41C7440F"/>
    <w:rsid w:val="41F31F6D"/>
    <w:rsid w:val="41F415FA"/>
    <w:rsid w:val="42086033"/>
    <w:rsid w:val="421A0F32"/>
    <w:rsid w:val="422E49A6"/>
    <w:rsid w:val="428F2778"/>
    <w:rsid w:val="429B0372"/>
    <w:rsid w:val="42B4172F"/>
    <w:rsid w:val="43787995"/>
    <w:rsid w:val="43E63640"/>
    <w:rsid w:val="441D77A0"/>
    <w:rsid w:val="44D464F6"/>
    <w:rsid w:val="45034B0E"/>
    <w:rsid w:val="45216E01"/>
    <w:rsid w:val="45377F0F"/>
    <w:rsid w:val="45B71FFA"/>
    <w:rsid w:val="45D81A16"/>
    <w:rsid w:val="475464A0"/>
    <w:rsid w:val="476A02AE"/>
    <w:rsid w:val="477660B6"/>
    <w:rsid w:val="47834D0E"/>
    <w:rsid w:val="47C964AB"/>
    <w:rsid w:val="47E1596A"/>
    <w:rsid w:val="482F185E"/>
    <w:rsid w:val="48723D37"/>
    <w:rsid w:val="487C2592"/>
    <w:rsid w:val="489B4C1A"/>
    <w:rsid w:val="492D4AE9"/>
    <w:rsid w:val="49444517"/>
    <w:rsid w:val="499A4F93"/>
    <w:rsid w:val="4A3C63F6"/>
    <w:rsid w:val="4A870FBE"/>
    <w:rsid w:val="4ABC6B0C"/>
    <w:rsid w:val="4ABD346C"/>
    <w:rsid w:val="4AEF083F"/>
    <w:rsid w:val="4B0F26AF"/>
    <w:rsid w:val="4B1E52B9"/>
    <w:rsid w:val="4BB20A8F"/>
    <w:rsid w:val="4BB44B1B"/>
    <w:rsid w:val="4C0842E9"/>
    <w:rsid w:val="4C3F3C30"/>
    <w:rsid w:val="4C8D2649"/>
    <w:rsid w:val="4CC96DD7"/>
    <w:rsid w:val="4CD66E66"/>
    <w:rsid w:val="4DA50ED6"/>
    <w:rsid w:val="4DB73F57"/>
    <w:rsid w:val="4DCA62FC"/>
    <w:rsid w:val="4DCD05FD"/>
    <w:rsid w:val="4E0D2655"/>
    <w:rsid w:val="4E467B99"/>
    <w:rsid w:val="4E915928"/>
    <w:rsid w:val="4EB550C3"/>
    <w:rsid w:val="4F070930"/>
    <w:rsid w:val="4F226B33"/>
    <w:rsid w:val="4F5A7728"/>
    <w:rsid w:val="502471C3"/>
    <w:rsid w:val="503A0CCE"/>
    <w:rsid w:val="504E3954"/>
    <w:rsid w:val="506E1826"/>
    <w:rsid w:val="51323DB7"/>
    <w:rsid w:val="51D0471C"/>
    <w:rsid w:val="521C4028"/>
    <w:rsid w:val="522E7B6D"/>
    <w:rsid w:val="525C5B12"/>
    <w:rsid w:val="528C7BBC"/>
    <w:rsid w:val="52997F97"/>
    <w:rsid w:val="53C9544C"/>
    <w:rsid w:val="54BC10AD"/>
    <w:rsid w:val="54D77E1C"/>
    <w:rsid w:val="54DD7257"/>
    <w:rsid w:val="550F511D"/>
    <w:rsid w:val="555D1F7D"/>
    <w:rsid w:val="55B915E8"/>
    <w:rsid w:val="56150135"/>
    <w:rsid w:val="5632704B"/>
    <w:rsid w:val="567A15E2"/>
    <w:rsid w:val="56BD457A"/>
    <w:rsid w:val="5728540A"/>
    <w:rsid w:val="572E14B5"/>
    <w:rsid w:val="578977CF"/>
    <w:rsid w:val="57A71AC0"/>
    <w:rsid w:val="58094566"/>
    <w:rsid w:val="582D6266"/>
    <w:rsid w:val="58513D01"/>
    <w:rsid w:val="586E5949"/>
    <w:rsid w:val="58B61C2B"/>
    <w:rsid w:val="59256BB6"/>
    <w:rsid w:val="59567F32"/>
    <w:rsid w:val="59583A38"/>
    <w:rsid w:val="59AE32A4"/>
    <w:rsid w:val="5A251639"/>
    <w:rsid w:val="5A9B2BAC"/>
    <w:rsid w:val="5AC07BA1"/>
    <w:rsid w:val="5AD12130"/>
    <w:rsid w:val="5B4F2C80"/>
    <w:rsid w:val="5B962477"/>
    <w:rsid w:val="5BAE7415"/>
    <w:rsid w:val="5C3A4E1A"/>
    <w:rsid w:val="5CB22453"/>
    <w:rsid w:val="5CE248D3"/>
    <w:rsid w:val="5D1B5592"/>
    <w:rsid w:val="5D9014AA"/>
    <w:rsid w:val="5D9D295B"/>
    <w:rsid w:val="5DB07945"/>
    <w:rsid w:val="5E3E62BF"/>
    <w:rsid w:val="5ECF5DAA"/>
    <w:rsid w:val="5EFA6CBC"/>
    <w:rsid w:val="5F457474"/>
    <w:rsid w:val="5F5D7D5F"/>
    <w:rsid w:val="5FCE3F5E"/>
    <w:rsid w:val="5FF335AB"/>
    <w:rsid w:val="60475794"/>
    <w:rsid w:val="60480084"/>
    <w:rsid w:val="60681418"/>
    <w:rsid w:val="60BD0E3F"/>
    <w:rsid w:val="60C57966"/>
    <w:rsid w:val="60D9645A"/>
    <w:rsid w:val="620E16CA"/>
    <w:rsid w:val="623B4C9C"/>
    <w:rsid w:val="624349C7"/>
    <w:rsid w:val="625918B2"/>
    <w:rsid w:val="62925F8E"/>
    <w:rsid w:val="62E47ADA"/>
    <w:rsid w:val="63447EF4"/>
    <w:rsid w:val="634557C4"/>
    <w:rsid w:val="635E1AED"/>
    <w:rsid w:val="63A87B2F"/>
    <w:rsid w:val="63AF688C"/>
    <w:rsid w:val="63BD5CAD"/>
    <w:rsid w:val="641064D5"/>
    <w:rsid w:val="643C15C9"/>
    <w:rsid w:val="64692631"/>
    <w:rsid w:val="646E4105"/>
    <w:rsid w:val="649A4ECC"/>
    <w:rsid w:val="64B013A5"/>
    <w:rsid w:val="654842BB"/>
    <w:rsid w:val="659F54E1"/>
    <w:rsid w:val="65B6271E"/>
    <w:rsid w:val="65FF270C"/>
    <w:rsid w:val="66462868"/>
    <w:rsid w:val="665324F3"/>
    <w:rsid w:val="6657246A"/>
    <w:rsid w:val="665B7ECE"/>
    <w:rsid w:val="66635661"/>
    <w:rsid w:val="66723CA7"/>
    <w:rsid w:val="667A7119"/>
    <w:rsid w:val="667D7612"/>
    <w:rsid w:val="6683448E"/>
    <w:rsid w:val="66E341BC"/>
    <w:rsid w:val="671C4E3C"/>
    <w:rsid w:val="673B5D3F"/>
    <w:rsid w:val="676856F3"/>
    <w:rsid w:val="67F65044"/>
    <w:rsid w:val="686B537D"/>
    <w:rsid w:val="695E27AB"/>
    <w:rsid w:val="699A0935"/>
    <w:rsid w:val="69EB25D8"/>
    <w:rsid w:val="69F27A27"/>
    <w:rsid w:val="6A291292"/>
    <w:rsid w:val="6A5C4C31"/>
    <w:rsid w:val="6B0B28A3"/>
    <w:rsid w:val="6B121A33"/>
    <w:rsid w:val="6B46308F"/>
    <w:rsid w:val="6B536632"/>
    <w:rsid w:val="6B995283"/>
    <w:rsid w:val="6C567B74"/>
    <w:rsid w:val="6C9864C6"/>
    <w:rsid w:val="6CB50FA7"/>
    <w:rsid w:val="6CC730B3"/>
    <w:rsid w:val="6CED0624"/>
    <w:rsid w:val="6D0A024E"/>
    <w:rsid w:val="6D442FCC"/>
    <w:rsid w:val="6D545967"/>
    <w:rsid w:val="6D596E26"/>
    <w:rsid w:val="6D6C6B60"/>
    <w:rsid w:val="6D760377"/>
    <w:rsid w:val="6DC93A4A"/>
    <w:rsid w:val="6E595162"/>
    <w:rsid w:val="6E635696"/>
    <w:rsid w:val="6ED26824"/>
    <w:rsid w:val="6F3A6449"/>
    <w:rsid w:val="6F6E7E3D"/>
    <w:rsid w:val="6F7A2AEE"/>
    <w:rsid w:val="6F9C3254"/>
    <w:rsid w:val="6FED7FE3"/>
    <w:rsid w:val="702F0B46"/>
    <w:rsid w:val="70ED375A"/>
    <w:rsid w:val="71193D3B"/>
    <w:rsid w:val="71C022D3"/>
    <w:rsid w:val="71F91FD0"/>
    <w:rsid w:val="71FC5E57"/>
    <w:rsid w:val="722D4A50"/>
    <w:rsid w:val="729E3E13"/>
    <w:rsid w:val="72B93AF6"/>
    <w:rsid w:val="73200B33"/>
    <w:rsid w:val="73C556F6"/>
    <w:rsid w:val="74441BAC"/>
    <w:rsid w:val="747519D9"/>
    <w:rsid w:val="747B06AA"/>
    <w:rsid w:val="747E564C"/>
    <w:rsid w:val="749A5A73"/>
    <w:rsid w:val="74B54C4F"/>
    <w:rsid w:val="75085897"/>
    <w:rsid w:val="76103C26"/>
    <w:rsid w:val="76955497"/>
    <w:rsid w:val="76E17E4C"/>
    <w:rsid w:val="76ED7632"/>
    <w:rsid w:val="76F35537"/>
    <w:rsid w:val="77035C4E"/>
    <w:rsid w:val="77083EBC"/>
    <w:rsid w:val="77160E3B"/>
    <w:rsid w:val="77407E20"/>
    <w:rsid w:val="77502734"/>
    <w:rsid w:val="77611D7E"/>
    <w:rsid w:val="77F34824"/>
    <w:rsid w:val="781213CF"/>
    <w:rsid w:val="781B0340"/>
    <w:rsid w:val="787643F6"/>
    <w:rsid w:val="78A93E00"/>
    <w:rsid w:val="79191C78"/>
    <w:rsid w:val="7924595D"/>
    <w:rsid w:val="79B33A13"/>
    <w:rsid w:val="7A26260F"/>
    <w:rsid w:val="7A424D83"/>
    <w:rsid w:val="7A4265B5"/>
    <w:rsid w:val="7A477801"/>
    <w:rsid w:val="7A4F37CD"/>
    <w:rsid w:val="7A866A19"/>
    <w:rsid w:val="7AA431E2"/>
    <w:rsid w:val="7AF05A7D"/>
    <w:rsid w:val="7B333E67"/>
    <w:rsid w:val="7B647670"/>
    <w:rsid w:val="7B7869DA"/>
    <w:rsid w:val="7BED0584"/>
    <w:rsid w:val="7C7E432C"/>
    <w:rsid w:val="7CAD570D"/>
    <w:rsid w:val="7D0F6287"/>
    <w:rsid w:val="7D9F7D26"/>
    <w:rsid w:val="7DA7601E"/>
    <w:rsid w:val="7DD30A0C"/>
    <w:rsid w:val="7E6459CD"/>
    <w:rsid w:val="7E86344E"/>
    <w:rsid w:val="7EEA35E3"/>
    <w:rsid w:val="7F2B5F11"/>
    <w:rsid w:val="7F581823"/>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0"/>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4"/>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5"/>
    <w:qFormat/>
    <w:locked/>
    <w:uiPriority w:val="0"/>
    <w:pPr>
      <w:jc w:val="center"/>
      <w:outlineLvl w:val="3"/>
    </w:pPr>
  </w:style>
  <w:style w:type="paragraph" w:styleId="7">
    <w:name w:val="heading 5"/>
    <w:basedOn w:val="1"/>
    <w:next w:val="1"/>
    <w:link w:val="76"/>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7"/>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8"/>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9"/>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80"/>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2"/>
    <w:qFormat/>
    <w:locked/>
    <w:uiPriority w:val="0"/>
    <w:pPr>
      <w:spacing w:before="240" w:after="60" w:line="360" w:lineRule="auto"/>
      <w:jc w:val="center"/>
      <w:outlineLvl w:val="0"/>
    </w:pPr>
    <w:rPr>
      <w:rFonts w:ascii="Calibri" w:hAnsi="Calibri"/>
      <w:b/>
      <w:bCs/>
      <w:sz w:val="32"/>
      <w:szCs w:val="32"/>
    </w:rPr>
  </w:style>
  <w:style w:type="paragraph" w:styleId="12">
    <w:name w:val="List 3"/>
    <w:basedOn w:val="1"/>
    <w:qFormat/>
    <w:uiPriority w:val="0"/>
    <w:pPr>
      <w:ind w:left="400" w:leftChars="400" w:hanging="200" w:hangingChars="200"/>
    </w:pPr>
    <w:rPr>
      <w:szCs w:val="20"/>
    </w:rPr>
  </w:style>
  <w:style w:type="paragraph" w:styleId="13">
    <w:name w:val="annotation subject"/>
    <w:basedOn w:val="14"/>
    <w:next w:val="14"/>
    <w:link w:val="105"/>
    <w:qFormat/>
    <w:uiPriority w:val="0"/>
    <w:rPr>
      <w:b/>
      <w:bCs/>
      <w:kern w:val="0"/>
      <w:sz w:val="20"/>
    </w:rPr>
  </w:style>
  <w:style w:type="paragraph" w:styleId="14">
    <w:name w:val="annotation text"/>
    <w:basedOn w:val="1"/>
    <w:link w:val="106"/>
    <w:unhideWhenUsed/>
    <w:qFormat/>
    <w:uiPriority w:val="99"/>
    <w:pPr>
      <w:jc w:val="left"/>
    </w:pPr>
  </w:style>
  <w:style w:type="paragraph" w:styleId="15">
    <w:name w:val="toc 7"/>
    <w:basedOn w:val="1"/>
    <w:next w:val="1"/>
    <w:qFormat/>
    <w:locked/>
    <w:uiPriority w:val="39"/>
    <w:pPr>
      <w:ind w:left="1260"/>
      <w:jc w:val="left"/>
    </w:pPr>
    <w:rPr>
      <w:rFonts w:ascii="Calibri" w:hAnsi="Calibri"/>
      <w:sz w:val="18"/>
      <w:szCs w:val="18"/>
    </w:rPr>
  </w:style>
  <w:style w:type="paragraph" w:styleId="16">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7">
    <w:name w:val="Note Heading"/>
    <w:basedOn w:val="1"/>
    <w:next w:val="1"/>
    <w:link w:val="159"/>
    <w:qFormat/>
    <w:uiPriority w:val="0"/>
    <w:pPr>
      <w:spacing w:line="240" w:lineRule="exact"/>
    </w:pPr>
    <w:rPr>
      <w:rFonts w:ascii="宋体" w:hAnsi="宋体"/>
      <w:kern w:val="15"/>
      <w:sz w:val="15"/>
      <w:szCs w:val="20"/>
      <w:lang w:val="sv-SE"/>
    </w:rPr>
  </w:style>
  <w:style w:type="paragraph" w:styleId="18">
    <w:name w:val="List Bullet 4"/>
    <w:basedOn w:val="1"/>
    <w:qFormat/>
    <w:uiPriority w:val="0"/>
    <w:pPr>
      <w:tabs>
        <w:tab w:val="left" w:pos="1125"/>
        <w:tab w:val="left" w:pos="1801"/>
      </w:tabs>
      <w:ind w:left="1801" w:hanging="1125"/>
    </w:pPr>
    <w:rPr>
      <w:sz w:val="28"/>
      <w:szCs w:val="20"/>
    </w:rPr>
  </w:style>
  <w:style w:type="paragraph" w:styleId="19">
    <w:name w:val="List Number"/>
    <w:basedOn w:val="1"/>
    <w:qFormat/>
    <w:uiPriority w:val="0"/>
    <w:pPr>
      <w:tabs>
        <w:tab w:val="left" w:pos="1474"/>
      </w:tabs>
      <w:ind w:left="1474" w:hanging="453"/>
    </w:pPr>
    <w:rPr>
      <w:sz w:val="28"/>
      <w:szCs w:val="20"/>
    </w:rPr>
  </w:style>
  <w:style w:type="paragraph" w:styleId="20">
    <w:name w:val="Normal Indent"/>
    <w:basedOn w:val="1"/>
    <w:link w:val="81"/>
    <w:qFormat/>
    <w:uiPriority w:val="0"/>
    <w:pPr>
      <w:spacing w:line="360" w:lineRule="auto"/>
      <w:jc w:val="center"/>
    </w:pPr>
    <w:rPr>
      <w:rFonts w:ascii="仿宋_GB2312" w:hAnsi="宋体" w:eastAsia="仿宋_GB2312" w:cs="宋体"/>
      <w:b/>
      <w:bCs/>
      <w:color w:val="000000"/>
      <w:kern w:val="0"/>
      <w:sz w:val="32"/>
      <w:szCs w:val="32"/>
    </w:rPr>
  </w:style>
  <w:style w:type="paragraph" w:styleId="21">
    <w:name w:val="caption"/>
    <w:basedOn w:val="1"/>
    <w:next w:val="1"/>
    <w:qFormat/>
    <w:locked/>
    <w:uiPriority w:val="0"/>
    <w:pPr>
      <w:spacing w:before="152" w:after="160"/>
    </w:pPr>
    <w:rPr>
      <w:rFonts w:ascii="Arial" w:hAnsi="Arial" w:eastAsia="黑体"/>
      <w:sz w:val="20"/>
      <w:szCs w:val="20"/>
    </w:rPr>
  </w:style>
  <w:style w:type="paragraph" w:styleId="22">
    <w:name w:val="List Bullet"/>
    <w:basedOn w:val="1"/>
    <w:qFormat/>
    <w:uiPriority w:val="0"/>
    <w:pPr>
      <w:tabs>
        <w:tab w:val="left" w:pos="361"/>
      </w:tabs>
      <w:ind w:left="361" w:hanging="360"/>
    </w:pPr>
    <w:rPr>
      <w:sz w:val="28"/>
      <w:szCs w:val="20"/>
    </w:rPr>
  </w:style>
  <w:style w:type="paragraph" w:styleId="23">
    <w:name w:val="Document Map"/>
    <w:basedOn w:val="1"/>
    <w:link w:val="116"/>
    <w:semiHidden/>
    <w:qFormat/>
    <w:uiPriority w:val="0"/>
    <w:pPr>
      <w:shd w:val="clear" w:color="auto" w:fill="000080"/>
    </w:pPr>
    <w:rPr>
      <w:kern w:val="0"/>
      <w:sz w:val="20"/>
    </w:rPr>
  </w:style>
  <w:style w:type="paragraph" w:styleId="24">
    <w:name w:val="Body Text 3"/>
    <w:basedOn w:val="1"/>
    <w:link w:val="117"/>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0"/>
    <w:qFormat/>
    <w:uiPriority w:val="99"/>
    <w:rPr>
      <w:kern w:val="0"/>
      <w:sz w:val="26"/>
    </w:rPr>
  </w:style>
  <w:style w:type="paragraph" w:styleId="27">
    <w:name w:val="Body Text Indent"/>
    <w:basedOn w:val="1"/>
    <w:link w:val="142"/>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2"/>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39"/>
    <w:qFormat/>
    <w:uiPriority w:val="0"/>
    <w:pPr>
      <w:ind w:left="100" w:leftChars="2500"/>
    </w:pPr>
    <w:rPr>
      <w:kern w:val="0"/>
      <w:sz w:val="20"/>
    </w:rPr>
  </w:style>
  <w:style w:type="paragraph" w:styleId="39">
    <w:name w:val="Body Text Indent 2"/>
    <w:basedOn w:val="1"/>
    <w:link w:val="120"/>
    <w:qFormat/>
    <w:uiPriority w:val="0"/>
    <w:pPr>
      <w:ind w:left="1005" w:hanging="1005"/>
    </w:pPr>
    <w:rPr>
      <w:rFonts w:eastAsia="仿宋_GB2312"/>
      <w:kern w:val="0"/>
      <w:sz w:val="32"/>
      <w:szCs w:val="20"/>
    </w:rPr>
  </w:style>
  <w:style w:type="paragraph" w:styleId="40">
    <w:name w:val="Balloon Text"/>
    <w:basedOn w:val="1"/>
    <w:link w:val="82"/>
    <w:qFormat/>
    <w:uiPriority w:val="0"/>
    <w:rPr>
      <w:sz w:val="18"/>
      <w:szCs w:val="18"/>
    </w:rPr>
  </w:style>
  <w:style w:type="paragraph" w:styleId="41">
    <w:name w:val="footer"/>
    <w:basedOn w:val="1"/>
    <w:link w:val="83"/>
    <w:qFormat/>
    <w:uiPriority w:val="99"/>
    <w:pPr>
      <w:tabs>
        <w:tab w:val="center" w:pos="4153"/>
        <w:tab w:val="right" w:pos="8306"/>
      </w:tabs>
      <w:snapToGrid w:val="0"/>
      <w:jc w:val="left"/>
    </w:pPr>
    <w:rPr>
      <w:rFonts w:ascii="Calibri" w:hAnsi="Calibri"/>
      <w:kern w:val="0"/>
      <w:sz w:val="18"/>
      <w:szCs w:val="18"/>
    </w:rPr>
  </w:style>
  <w:style w:type="paragraph" w:styleId="42">
    <w:name w:val="Body Text First Indent 2"/>
    <w:basedOn w:val="27"/>
    <w:link w:val="141"/>
    <w:qFormat/>
    <w:uiPriority w:val="0"/>
    <w:pPr>
      <w:ind w:firstLine="420" w:firstLineChars="200"/>
    </w:pPr>
    <w:rPr>
      <w:color w:val="000000"/>
      <w:kern w:val="0"/>
      <w:sz w:val="28"/>
    </w:rPr>
  </w:style>
  <w:style w:type="paragraph" w:styleId="43">
    <w:name w:val="header"/>
    <w:basedOn w:val="1"/>
    <w:link w:val="8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4">
    <w:name w:val="toc 1"/>
    <w:basedOn w:val="1"/>
    <w:next w:val="1"/>
    <w:qFormat/>
    <w:uiPriority w:val="39"/>
    <w:rPr>
      <w:rFonts w:ascii="Calibri" w:hAnsi="Calibri"/>
      <w:b/>
      <w:szCs w:val="20"/>
    </w:rPr>
  </w:style>
  <w:style w:type="paragraph" w:styleId="45">
    <w:name w:val="toc 4"/>
    <w:basedOn w:val="1"/>
    <w:next w:val="1"/>
    <w:qFormat/>
    <w:locked/>
    <w:uiPriority w:val="39"/>
    <w:pPr>
      <w:ind w:left="630"/>
      <w:jc w:val="left"/>
    </w:pPr>
    <w:rPr>
      <w:rFonts w:ascii="Calibri" w:hAnsi="Calibri"/>
      <w:sz w:val="18"/>
      <w:szCs w:val="18"/>
    </w:rPr>
  </w:style>
  <w:style w:type="paragraph" w:styleId="46">
    <w:name w:val="Subtitle"/>
    <w:basedOn w:val="1"/>
    <w:link w:val="162"/>
    <w:qFormat/>
    <w:locked/>
    <w:uiPriority w:val="0"/>
    <w:pPr>
      <w:widowControl/>
      <w:jc w:val="center"/>
    </w:pPr>
    <w:rPr>
      <w:kern w:val="0"/>
      <w:sz w:val="20"/>
      <w:u w:val="single"/>
      <w:lang w:eastAsia="en-US"/>
    </w:rPr>
  </w:style>
  <w:style w:type="paragraph" w:styleId="47">
    <w:name w:val="List Number 5"/>
    <w:basedOn w:val="1"/>
    <w:qFormat/>
    <w:uiPriority w:val="0"/>
    <w:pPr>
      <w:tabs>
        <w:tab w:val="left" w:pos="2281"/>
      </w:tabs>
      <w:ind w:left="2281" w:hanging="360"/>
    </w:pPr>
    <w:rPr>
      <w:sz w:val="28"/>
      <w:szCs w:val="20"/>
    </w:rPr>
  </w:style>
  <w:style w:type="paragraph" w:styleId="48">
    <w:name w:val="List"/>
    <w:basedOn w:val="1"/>
    <w:qFormat/>
    <w:uiPriority w:val="0"/>
    <w:pPr>
      <w:ind w:left="200" w:hanging="200" w:hangingChars="200"/>
    </w:pPr>
    <w:rPr>
      <w:szCs w:val="20"/>
    </w:rPr>
  </w:style>
  <w:style w:type="paragraph" w:styleId="49">
    <w:name w:val="footnote text"/>
    <w:basedOn w:val="1"/>
    <w:link w:val="108"/>
    <w:qFormat/>
    <w:uiPriority w:val="0"/>
    <w:pPr>
      <w:snapToGrid w:val="0"/>
      <w:jc w:val="left"/>
    </w:pPr>
    <w:rPr>
      <w:kern w:val="0"/>
      <w:sz w:val="18"/>
      <w:szCs w:val="18"/>
    </w:rPr>
  </w:style>
  <w:style w:type="paragraph" w:styleId="50">
    <w:name w:val="toc 6"/>
    <w:basedOn w:val="1"/>
    <w:next w:val="1"/>
    <w:qFormat/>
    <w:locked/>
    <w:uiPriority w:val="39"/>
    <w:pPr>
      <w:ind w:left="1050"/>
      <w:jc w:val="left"/>
    </w:pPr>
    <w:rPr>
      <w:rFonts w:ascii="Calibri" w:hAnsi="Calibri"/>
      <w:sz w:val="18"/>
      <w:szCs w:val="18"/>
    </w:rPr>
  </w:style>
  <w:style w:type="paragraph" w:styleId="51">
    <w:name w:val="Body Text Indent 3"/>
    <w:basedOn w:val="1"/>
    <w:link w:val="131"/>
    <w:qFormat/>
    <w:uiPriority w:val="0"/>
    <w:pPr>
      <w:spacing w:after="120"/>
      <w:ind w:left="420" w:leftChars="200"/>
    </w:pPr>
    <w:rPr>
      <w:kern w:val="0"/>
      <w:sz w:val="16"/>
      <w:szCs w:val="16"/>
    </w:rPr>
  </w:style>
  <w:style w:type="paragraph" w:styleId="52">
    <w:name w:val="toc 2"/>
    <w:basedOn w:val="1"/>
    <w:next w:val="1"/>
    <w:qFormat/>
    <w:locked/>
    <w:uiPriority w:val="39"/>
    <w:pPr>
      <w:ind w:left="210"/>
      <w:jc w:val="left"/>
    </w:pPr>
    <w:rPr>
      <w:rFonts w:ascii="Calibri" w:hAnsi="Calibri"/>
      <w:smallCaps/>
      <w:sz w:val="20"/>
      <w:szCs w:val="20"/>
    </w:rPr>
  </w:style>
  <w:style w:type="paragraph" w:styleId="53">
    <w:name w:val="toc 9"/>
    <w:basedOn w:val="1"/>
    <w:next w:val="1"/>
    <w:qFormat/>
    <w:locked/>
    <w:uiPriority w:val="39"/>
    <w:pPr>
      <w:ind w:left="1680"/>
      <w:jc w:val="left"/>
    </w:pPr>
    <w:rPr>
      <w:rFonts w:ascii="Calibri" w:hAnsi="Calibri"/>
      <w:sz w:val="18"/>
      <w:szCs w:val="18"/>
    </w:rPr>
  </w:style>
  <w:style w:type="paragraph" w:styleId="54">
    <w:name w:val="Body Text 2"/>
    <w:basedOn w:val="1"/>
    <w:link w:val="100"/>
    <w:qFormat/>
    <w:uiPriority w:val="0"/>
    <w:rPr>
      <w:i/>
      <w:iCs/>
      <w:kern w:val="0"/>
      <w:sz w:val="26"/>
    </w:rPr>
  </w:style>
  <w:style w:type="paragraph" w:styleId="55">
    <w:name w:val="List 4"/>
    <w:basedOn w:val="1"/>
    <w:qFormat/>
    <w:uiPriority w:val="0"/>
    <w:pPr>
      <w:ind w:left="600" w:leftChars="600" w:hanging="200" w:hangingChars="200"/>
    </w:pPr>
    <w:rPr>
      <w:szCs w:val="20"/>
    </w:rPr>
  </w:style>
  <w:style w:type="paragraph" w:styleId="56">
    <w:name w:val="List Continue 2"/>
    <w:basedOn w:val="1"/>
    <w:qFormat/>
    <w:uiPriority w:val="0"/>
    <w:pPr>
      <w:spacing w:after="120"/>
      <w:ind w:left="400" w:leftChars="400"/>
    </w:pPr>
    <w:rPr>
      <w:szCs w:val="20"/>
    </w:rPr>
  </w:style>
  <w:style w:type="paragraph" w:styleId="57">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List Continue 3"/>
    <w:basedOn w:val="1"/>
    <w:qFormat/>
    <w:uiPriority w:val="0"/>
    <w:pPr>
      <w:spacing w:after="120"/>
      <w:ind w:left="600" w:leftChars="600"/>
    </w:pPr>
    <w:rPr>
      <w:szCs w:val="20"/>
    </w:rPr>
  </w:style>
  <w:style w:type="character" w:styleId="61">
    <w:name w:val="Strong"/>
    <w:qFormat/>
    <w:locked/>
    <w:uiPriority w:val="0"/>
    <w:rPr>
      <w:b/>
      <w:bCs/>
    </w:rPr>
  </w:style>
  <w:style w:type="character" w:styleId="62">
    <w:name w:val="page number"/>
    <w:basedOn w:val="60"/>
    <w:qFormat/>
    <w:uiPriority w:val="0"/>
  </w:style>
  <w:style w:type="character" w:styleId="63">
    <w:name w:val="FollowedHyperlink"/>
    <w:qFormat/>
    <w:uiPriority w:val="99"/>
    <w:rPr>
      <w:color w:val="333333"/>
      <w:u w:val="none"/>
    </w:rPr>
  </w:style>
  <w:style w:type="character" w:styleId="64">
    <w:name w:val="HTML Typewriter"/>
    <w:qFormat/>
    <w:uiPriority w:val="0"/>
    <w:rPr>
      <w:rFonts w:ascii="黑体" w:hAnsi="Courier New" w:eastAsia="黑体"/>
      <w:sz w:val="20"/>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table" w:styleId="69">
    <w:name w:val="Table Grid"/>
    <w:basedOn w:val="6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0">
    <w:name w:val="标题 2 字符"/>
    <w:basedOn w:val="60"/>
    <w:link w:val="4"/>
    <w:qFormat/>
    <w:uiPriority w:val="0"/>
    <w:rPr>
      <w:rFonts w:ascii="仿宋_GB2312" w:eastAsia="仿宋_GB2312"/>
      <w:b/>
      <w:spacing w:val="1"/>
      <w:w w:val="99"/>
      <w:sz w:val="28"/>
      <w:szCs w:val="32"/>
    </w:rPr>
  </w:style>
  <w:style w:type="character" w:customStyle="1" w:styleId="71">
    <w:name w:val="标题 1 Char"/>
    <w:qFormat/>
    <w:uiPriority w:val="0"/>
    <w:rPr>
      <w:rFonts w:ascii="Times New Roman" w:hAnsi="Times New Roman" w:eastAsia="宋体" w:cs="Times New Roman"/>
      <w:b/>
      <w:bCs/>
      <w:kern w:val="44"/>
      <w:sz w:val="44"/>
      <w:szCs w:val="44"/>
    </w:rPr>
  </w:style>
  <w:style w:type="character" w:customStyle="1" w:styleId="72">
    <w:name w:val="标题 字符"/>
    <w:link w:val="2"/>
    <w:qFormat/>
    <w:uiPriority w:val="0"/>
    <w:rPr>
      <w:rFonts w:ascii="Calibri" w:hAnsi="Calibri"/>
      <w:b/>
      <w:bCs/>
      <w:kern w:val="2"/>
      <w:sz w:val="32"/>
      <w:szCs w:val="32"/>
    </w:rPr>
  </w:style>
  <w:style w:type="character" w:customStyle="1" w:styleId="73">
    <w:name w:val="标题 1 字符"/>
    <w:basedOn w:val="60"/>
    <w:link w:val="3"/>
    <w:qFormat/>
    <w:uiPriority w:val="0"/>
    <w:rPr>
      <w:rFonts w:eastAsia="黑体"/>
      <w:sz w:val="44"/>
      <w:szCs w:val="44"/>
    </w:rPr>
  </w:style>
  <w:style w:type="character" w:customStyle="1" w:styleId="74">
    <w:name w:val="标题 3 字符"/>
    <w:basedOn w:val="60"/>
    <w:link w:val="5"/>
    <w:qFormat/>
    <w:uiPriority w:val="0"/>
    <w:rPr>
      <w:rFonts w:ascii="仿宋_GB2312" w:eastAsia="仿宋_GB2312"/>
      <w:b/>
      <w:sz w:val="24"/>
      <w:szCs w:val="28"/>
    </w:rPr>
  </w:style>
  <w:style w:type="character" w:customStyle="1" w:styleId="75">
    <w:name w:val="标题 4 字符"/>
    <w:basedOn w:val="60"/>
    <w:link w:val="6"/>
    <w:qFormat/>
    <w:uiPriority w:val="0"/>
    <w:rPr>
      <w:rFonts w:ascii="仿宋_GB2312" w:eastAsia="仿宋_GB2312"/>
      <w:b/>
      <w:sz w:val="24"/>
      <w:szCs w:val="28"/>
    </w:rPr>
  </w:style>
  <w:style w:type="character" w:customStyle="1" w:styleId="76">
    <w:name w:val="标题 5 字符"/>
    <w:basedOn w:val="60"/>
    <w:link w:val="7"/>
    <w:qFormat/>
    <w:uiPriority w:val="0"/>
    <w:rPr>
      <w:b/>
      <w:bCs/>
      <w:sz w:val="28"/>
      <w:szCs w:val="28"/>
    </w:rPr>
  </w:style>
  <w:style w:type="character" w:customStyle="1" w:styleId="77">
    <w:name w:val="标题 6 字符"/>
    <w:basedOn w:val="60"/>
    <w:link w:val="8"/>
    <w:qFormat/>
    <w:uiPriority w:val="0"/>
    <w:rPr>
      <w:rFonts w:ascii="Arial" w:hAnsi="Arial" w:eastAsia="黑体"/>
      <w:b/>
      <w:bCs/>
      <w:sz w:val="24"/>
      <w:szCs w:val="24"/>
    </w:rPr>
  </w:style>
  <w:style w:type="character" w:customStyle="1" w:styleId="78">
    <w:name w:val="标题 7 字符"/>
    <w:basedOn w:val="60"/>
    <w:link w:val="9"/>
    <w:qFormat/>
    <w:uiPriority w:val="0"/>
    <w:rPr>
      <w:b/>
      <w:bCs/>
      <w:sz w:val="24"/>
      <w:szCs w:val="24"/>
    </w:rPr>
  </w:style>
  <w:style w:type="character" w:customStyle="1" w:styleId="79">
    <w:name w:val="标题 8 字符"/>
    <w:basedOn w:val="60"/>
    <w:link w:val="10"/>
    <w:qFormat/>
    <w:uiPriority w:val="0"/>
    <w:rPr>
      <w:rFonts w:ascii="Arial" w:hAnsi="Arial" w:eastAsia="黑体"/>
      <w:sz w:val="24"/>
      <w:szCs w:val="24"/>
    </w:rPr>
  </w:style>
  <w:style w:type="character" w:customStyle="1" w:styleId="80">
    <w:name w:val="标题 9 字符"/>
    <w:basedOn w:val="60"/>
    <w:link w:val="11"/>
    <w:qFormat/>
    <w:uiPriority w:val="0"/>
    <w:rPr>
      <w:rFonts w:ascii="Arial" w:hAnsi="Arial" w:eastAsia="黑体"/>
      <w:szCs w:val="21"/>
    </w:rPr>
  </w:style>
  <w:style w:type="character" w:customStyle="1" w:styleId="81">
    <w:name w:val="正文缩进 字符"/>
    <w:link w:val="20"/>
    <w:qFormat/>
    <w:locked/>
    <w:uiPriority w:val="0"/>
    <w:rPr>
      <w:rFonts w:ascii="仿宋_GB2312" w:hAnsi="宋体" w:eastAsia="仿宋_GB2312" w:cs="宋体"/>
      <w:b/>
      <w:bCs/>
      <w:color w:val="000000"/>
      <w:sz w:val="32"/>
      <w:szCs w:val="32"/>
    </w:rPr>
  </w:style>
  <w:style w:type="character" w:customStyle="1" w:styleId="82">
    <w:name w:val="批注框文本 字符"/>
    <w:basedOn w:val="60"/>
    <w:link w:val="40"/>
    <w:qFormat/>
    <w:locked/>
    <w:uiPriority w:val="0"/>
    <w:rPr>
      <w:rFonts w:ascii="Times New Roman" w:hAnsi="Times New Roman"/>
      <w:kern w:val="2"/>
      <w:sz w:val="18"/>
    </w:rPr>
  </w:style>
  <w:style w:type="character" w:customStyle="1" w:styleId="83">
    <w:name w:val="页脚 字符"/>
    <w:basedOn w:val="60"/>
    <w:link w:val="41"/>
    <w:qFormat/>
    <w:locked/>
    <w:uiPriority w:val="99"/>
    <w:rPr>
      <w:sz w:val="18"/>
    </w:rPr>
  </w:style>
  <w:style w:type="character" w:customStyle="1" w:styleId="84">
    <w:name w:val="页眉 字符"/>
    <w:basedOn w:val="60"/>
    <w:link w:val="43"/>
    <w:qFormat/>
    <w:locked/>
    <w:uiPriority w:val="99"/>
    <w:rPr>
      <w:sz w:val="18"/>
    </w:rPr>
  </w:style>
  <w:style w:type="paragraph" w:customStyle="1" w:styleId="85">
    <w:name w:val="列出段落1"/>
    <w:basedOn w:val="1"/>
    <w:qFormat/>
    <w:uiPriority w:val="0"/>
    <w:pPr>
      <w:ind w:firstLine="420" w:firstLineChars="200"/>
    </w:pPr>
  </w:style>
  <w:style w:type="character" w:customStyle="1" w:styleId="86">
    <w:name w:val="f14w1"/>
    <w:qFormat/>
    <w:uiPriority w:val="99"/>
    <w:rPr>
      <w:b/>
      <w:color w:val="002569"/>
      <w:sz w:val="21"/>
    </w:rPr>
  </w:style>
  <w:style w:type="paragraph" w:customStyle="1" w:styleId="8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8">
    <w:name w:val="列出段落11"/>
    <w:basedOn w:val="1"/>
    <w:qFormat/>
    <w:uiPriority w:val="99"/>
    <w:pPr>
      <w:ind w:firstLine="420" w:firstLineChars="200"/>
    </w:pPr>
  </w:style>
  <w:style w:type="paragraph" w:customStyle="1" w:styleId="89">
    <w:name w:val="列出段落2"/>
    <w:basedOn w:val="1"/>
    <w:qFormat/>
    <w:uiPriority w:val="99"/>
    <w:pPr>
      <w:ind w:firstLine="420" w:firstLineChars="200"/>
    </w:pPr>
    <w:rPr>
      <w:rFonts w:ascii="Calibri" w:hAnsi="Calibri"/>
      <w:szCs w:val="22"/>
    </w:rPr>
  </w:style>
  <w:style w:type="character" w:customStyle="1" w:styleId="90">
    <w:name w:val="正文文本 字符"/>
    <w:link w:val="26"/>
    <w:qFormat/>
    <w:uiPriority w:val="99"/>
    <w:rPr>
      <w:sz w:val="26"/>
      <w:szCs w:val="24"/>
    </w:rPr>
  </w:style>
  <w:style w:type="character" w:customStyle="1" w:styleId="91">
    <w:name w:val="正文文本 字符1"/>
    <w:basedOn w:val="60"/>
    <w:semiHidden/>
    <w:qFormat/>
    <w:uiPriority w:val="99"/>
    <w:rPr>
      <w:kern w:val="2"/>
      <w:sz w:val="21"/>
      <w:szCs w:val="24"/>
    </w:rPr>
  </w:style>
  <w:style w:type="character" w:customStyle="1" w:styleId="92">
    <w:name w:val="font31"/>
    <w:qFormat/>
    <w:uiPriority w:val="0"/>
    <w:rPr>
      <w:rFonts w:hint="eastAsia" w:ascii="宋体" w:hAnsi="宋体" w:eastAsia="宋体" w:cs="宋体"/>
      <w:color w:val="000000"/>
      <w:sz w:val="18"/>
      <w:szCs w:val="18"/>
      <w:u w:val="none"/>
    </w:rPr>
  </w:style>
  <w:style w:type="character" w:customStyle="1" w:styleId="93">
    <w:name w:val="合同标题 Char"/>
    <w:qFormat/>
    <w:uiPriority w:val="0"/>
    <w:rPr>
      <w:rFonts w:eastAsia="宋体"/>
      <w:b/>
      <w:bCs/>
      <w:kern w:val="44"/>
      <w:sz w:val="44"/>
      <w:szCs w:val="44"/>
      <w:lang w:val="en-US" w:eastAsia="zh-CN" w:bidi="ar-SA"/>
    </w:rPr>
  </w:style>
  <w:style w:type="character" w:customStyle="1" w:styleId="94">
    <w:name w:val="font41"/>
    <w:qFormat/>
    <w:uiPriority w:val="0"/>
    <w:rPr>
      <w:rFonts w:hint="eastAsia" w:ascii="宋体" w:hAnsi="宋体" w:eastAsia="宋体" w:cs="宋体"/>
      <w:color w:val="000000"/>
      <w:sz w:val="18"/>
      <w:szCs w:val="18"/>
      <w:u w:val="none"/>
    </w:rPr>
  </w:style>
  <w:style w:type="character" w:customStyle="1" w:styleId="95">
    <w:name w:val="font71"/>
    <w:qFormat/>
    <w:uiPriority w:val="0"/>
    <w:rPr>
      <w:rFonts w:hint="default" w:ascii="Arial" w:hAnsi="Arial" w:cs="Arial"/>
      <w:b/>
      <w:bCs/>
      <w:color w:val="666666"/>
      <w:sz w:val="24"/>
      <w:szCs w:val="24"/>
      <w:u w:val="none"/>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4"/>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13"/>
    <w:qFormat/>
    <w:locked/>
    <w:uiPriority w:val="0"/>
    <w:rPr>
      <w:b/>
      <w:bCs/>
      <w:szCs w:val="24"/>
    </w:rPr>
  </w:style>
  <w:style w:type="character" w:customStyle="1" w:styleId="106">
    <w:name w:val="批注文字 字符"/>
    <w:basedOn w:val="60"/>
    <w:link w:val="14"/>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9"/>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4"/>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3"/>
    <w:semiHidden/>
    <w:qFormat/>
    <w:uiPriority w:val="0"/>
    <w:rPr>
      <w:szCs w:val="24"/>
      <w:shd w:val="clear" w:color="auto" w:fill="000080"/>
    </w:rPr>
  </w:style>
  <w:style w:type="character" w:customStyle="1" w:styleId="117">
    <w:name w:val="正文文本 3 字符"/>
    <w:link w:val="24"/>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9"/>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qFormat/>
    <w:uiPriority w:val="0"/>
    <w:rPr>
      <w:rFonts w:ascii="宋体" w:hAnsi="Courier New" w:eastAsia="宋体"/>
      <w:kern w:val="2"/>
      <w:sz w:val="21"/>
      <w:lang w:val="en-US" w:eastAsia="zh-CN" w:bidi="ar-SA"/>
    </w:rPr>
  </w:style>
  <w:style w:type="character" w:customStyle="1" w:styleId="124">
    <w:name w:val="Char3 Char"/>
    <w:qFormat/>
    <w:uiPriority w:val="0"/>
    <w:rPr>
      <w:rFonts w:ascii="宋体" w:hAnsi="Courier New" w:eastAsia="宋体"/>
      <w:kern w:val="2"/>
      <w:sz w:val="21"/>
      <w:lang w:val="en-US" w:eastAsia="zh-CN" w:bidi="ar-SA"/>
    </w:rPr>
  </w:style>
  <w:style w:type="character" w:customStyle="1" w:styleId="125">
    <w:name w:val="font51"/>
    <w:qFormat/>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qFormat/>
    <w:uiPriority w:val="0"/>
    <w:rPr>
      <w:rFonts w:eastAsia="宋体"/>
      <w:kern w:val="2"/>
      <w:sz w:val="21"/>
      <w:szCs w:val="24"/>
      <w:lang w:val="en-US" w:eastAsia="zh-CN" w:bidi="ar-SA"/>
    </w:rPr>
  </w:style>
  <w:style w:type="character" w:customStyle="1" w:styleId="128">
    <w:name w:val="标题-5 Char Char"/>
    <w:link w:val="129"/>
    <w:qFormat/>
    <w:uiPriority w:val="0"/>
    <w:rPr>
      <w:b/>
      <w:szCs w:val="24"/>
    </w:rPr>
  </w:style>
  <w:style w:type="paragraph" w:customStyle="1" w:styleId="129">
    <w:name w:val="标题-5 Char"/>
    <w:basedOn w:val="1"/>
    <w:next w:val="1"/>
    <w:link w:val="128"/>
    <w:qFormat/>
    <w:uiPriority w:val="0"/>
    <w:pPr>
      <w:tabs>
        <w:tab w:val="left" w:pos="992"/>
      </w:tabs>
      <w:spacing w:line="360" w:lineRule="auto"/>
      <w:ind w:left="992" w:hanging="992"/>
    </w:pPr>
    <w:rPr>
      <w:b/>
      <w:kern w:val="0"/>
      <w:sz w:val="20"/>
    </w:rPr>
  </w:style>
  <w:style w:type="character" w:customStyle="1" w:styleId="130">
    <w:name w:val="批注框文本 Char"/>
    <w:qFormat/>
    <w:uiPriority w:val="0"/>
    <w:rPr>
      <w:kern w:val="2"/>
      <w:sz w:val="18"/>
      <w:szCs w:val="18"/>
    </w:rPr>
  </w:style>
  <w:style w:type="character" w:customStyle="1" w:styleId="131">
    <w:name w:val="正文文本缩进 3 字符"/>
    <w:link w:val="51"/>
    <w:qFormat/>
    <w:uiPriority w:val="0"/>
    <w:rPr>
      <w:sz w:val="16"/>
      <w:szCs w:val="16"/>
    </w:rPr>
  </w:style>
  <w:style w:type="character" w:customStyle="1" w:styleId="132">
    <w:name w:val="Heading 1 Char"/>
    <w:qFormat/>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qFormat/>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qFormat/>
    <w:locked/>
    <w:uiPriority w:val="0"/>
    <w:rPr>
      <w:rFonts w:eastAsia="黑体"/>
      <w:kern w:val="2"/>
      <w:sz w:val="44"/>
      <w:szCs w:val="44"/>
      <w:lang w:val="en-US" w:eastAsia="zh-CN" w:bidi="ar-SA"/>
    </w:rPr>
  </w:style>
  <w:style w:type="character" w:customStyle="1" w:styleId="136">
    <w:name w:val="font81"/>
    <w:qFormat/>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0"/>
    <w:qFormat/>
    <w:uiPriority w:val="0"/>
  </w:style>
  <w:style w:type="character" w:customStyle="1" w:styleId="139">
    <w:name w:val="日期 字符"/>
    <w:link w:val="38"/>
    <w:qFormat/>
    <w:locked/>
    <w:uiPriority w:val="0"/>
    <w:rPr>
      <w:szCs w:val="24"/>
    </w:rPr>
  </w:style>
  <w:style w:type="character" w:customStyle="1" w:styleId="140">
    <w:name w:val="副标题 Char1"/>
    <w:qFormat/>
    <w:uiPriority w:val="11"/>
    <w:rPr>
      <w:rFonts w:ascii="Cambria" w:hAnsi="Cambria" w:eastAsia="宋体" w:cs="Times New Roman"/>
      <w:b/>
      <w:bCs/>
      <w:kern w:val="28"/>
      <w:sz w:val="32"/>
      <w:szCs w:val="32"/>
    </w:rPr>
  </w:style>
  <w:style w:type="character" w:customStyle="1" w:styleId="141">
    <w:name w:val="正文首行缩进 2 字符"/>
    <w:link w:val="42"/>
    <w:qFormat/>
    <w:uiPriority w:val="0"/>
    <w:rPr>
      <w:color w:val="000000"/>
      <w:sz w:val="28"/>
      <w:szCs w:val="24"/>
    </w:rPr>
  </w:style>
  <w:style w:type="character" w:customStyle="1" w:styleId="142">
    <w:name w:val="正文文本缩进 字符1"/>
    <w:basedOn w:val="60"/>
    <w:link w:val="27"/>
    <w:semiHidden/>
    <w:qFormat/>
    <w:uiPriority w:val="99"/>
    <w:rPr>
      <w:kern w:val="2"/>
      <w:sz w:val="21"/>
      <w:szCs w:val="24"/>
    </w:rPr>
  </w:style>
  <w:style w:type="character" w:customStyle="1" w:styleId="143">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7"/>
    <w:qFormat/>
    <w:uiPriority w:val="0"/>
    <w:rPr>
      <w:rFonts w:ascii="宋体" w:hAnsi="宋体"/>
      <w:kern w:val="15"/>
      <w:sz w:val="15"/>
      <w:shd w:val="pct20" w:color="auto" w:fill="auto"/>
      <w:lang w:val="sv-SE"/>
    </w:rPr>
  </w:style>
  <w:style w:type="character" w:customStyle="1" w:styleId="145">
    <w:name w:val="font91"/>
    <w:qFormat/>
    <w:uiPriority w:val="0"/>
    <w:rPr>
      <w:rFonts w:hint="eastAsia" w:ascii="等线" w:hAnsi="等线" w:eastAsia="等线"/>
      <w:color w:val="000000"/>
      <w:sz w:val="22"/>
      <w:szCs w:val="22"/>
      <w:u w:val="none"/>
    </w:rPr>
  </w:style>
  <w:style w:type="character" w:customStyle="1" w:styleId="146">
    <w:name w:val="Heading 4 Char"/>
    <w:qFormat/>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0"/>
    <w:qFormat/>
    <w:uiPriority w:val="0"/>
  </w:style>
  <w:style w:type="character" w:customStyle="1" w:styleId="150">
    <w:name w:val="Table Text Char"/>
    <w:link w:val="151"/>
    <w:qFormat/>
    <w:uiPriority w:val="0"/>
    <w:rPr>
      <w:rFonts w:ascii="Arial" w:hAnsi="Arial" w:cs="Arial"/>
      <w:kern w:val="2"/>
      <w:sz w:val="18"/>
      <w:szCs w:val="18"/>
    </w:rPr>
  </w:style>
  <w:style w:type="paragraph" w:customStyle="1" w:styleId="151">
    <w:name w:val="Table Text"/>
    <w:link w:val="150"/>
    <w:qFormat/>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qFormat/>
    <w:locked/>
    <w:uiPriority w:val="0"/>
    <w:rPr>
      <w:rFonts w:eastAsia="宋体"/>
      <w:sz w:val="18"/>
      <w:szCs w:val="18"/>
      <w:lang w:val="en-US" w:eastAsia="zh-CN" w:bidi="ar-SA"/>
    </w:rPr>
  </w:style>
  <w:style w:type="character" w:customStyle="1" w:styleId="153">
    <w:name w:val="Char Char10"/>
    <w:qFormat/>
    <w:uiPriority w:val="0"/>
    <w:rPr>
      <w:rFonts w:ascii="仿宋_GB2312" w:eastAsia="仿宋_GB2312" w:cs="MingLiU"/>
      <w:b/>
      <w:spacing w:val="1"/>
      <w:w w:val="99"/>
      <w:sz w:val="28"/>
      <w:szCs w:val="32"/>
      <w:lang w:val="en-US" w:eastAsia="zh-CN" w:bidi="ar-SA"/>
    </w:rPr>
  </w:style>
  <w:style w:type="character" w:customStyle="1" w:styleId="154">
    <w:name w:val="regtitle"/>
    <w:basedOn w:val="60"/>
    <w:qFormat/>
    <w:uiPriority w:val="0"/>
  </w:style>
  <w:style w:type="character" w:customStyle="1" w:styleId="155">
    <w:name w:val="正文（首行缩进两字） Char"/>
    <w:qFormat/>
    <w:uiPriority w:val="0"/>
    <w:rPr>
      <w:rFonts w:eastAsia="宋体"/>
      <w:kern w:val="2"/>
      <w:sz w:val="21"/>
      <w:lang w:val="en-US" w:eastAsia="zh-CN"/>
    </w:rPr>
  </w:style>
  <w:style w:type="character" w:customStyle="1" w:styleId="156">
    <w:name w:val="标题-4 Char Char"/>
    <w:link w:val="157"/>
    <w:qFormat/>
    <w:uiPriority w:val="0"/>
    <w:rPr>
      <w:rFonts w:ascii="宋体" w:hAnsi="宋体" w:cs="System"/>
      <w:b/>
      <w:color w:val="000000"/>
      <w:szCs w:val="21"/>
    </w:rPr>
  </w:style>
  <w:style w:type="paragraph" w:customStyle="1" w:styleId="157">
    <w:name w:val="标题-4 Char"/>
    <w:basedOn w:val="1"/>
    <w:next w:val="1"/>
    <w:link w:val="156"/>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qFormat/>
    <w:uiPriority w:val="0"/>
    <w:rPr>
      <w:rFonts w:ascii="宋体" w:hAnsi="Courier New" w:eastAsia="宋体"/>
      <w:kern w:val="2"/>
      <w:sz w:val="21"/>
      <w:szCs w:val="24"/>
      <w:lang w:bidi="ar-SA"/>
    </w:rPr>
  </w:style>
  <w:style w:type="character" w:customStyle="1" w:styleId="159">
    <w:name w:val="注释标题 字符"/>
    <w:link w:val="17"/>
    <w:qFormat/>
    <w:uiPriority w:val="0"/>
    <w:rPr>
      <w:rFonts w:ascii="宋体" w:hAnsi="宋体"/>
      <w:kern w:val="15"/>
      <w:sz w:val="15"/>
      <w:lang w:val="sv-SE"/>
    </w:rPr>
  </w:style>
  <w:style w:type="character" w:customStyle="1" w:styleId="160">
    <w:name w:val="Comment Text Char"/>
    <w:qFormat/>
    <w:locked/>
    <w:uiPriority w:val="0"/>
    <w:rPr>
      <w:rFonts w:eastAsia="宋体"/>
      <w:sz w:val="24"/>
      <w:lang w:val="en-US" w:eastAsia="zh-CN" w:bidi="ar-SA"/>
    </w:rPr>
  </w:style>
  <w:style w:type="character" w:customStyle="1" w:styleId="161">
    <w:name w:val="文档正文 Char Char Char"/>
    <w:qFormat/>
    <w:uiPriority w:val="0"/>
    <w:rPr>
      <w:rFonts w:eastAsia="宋体"/>
      <w:kern w:val="2"/>
      <w:sz w:val="24"/>
      <w:lang w:val="en-US" w:eastAsia="zh-CN" w:bidi="ar-SA"/>
    </w:rPr>
  </w:style>
  <w:style w:type="character" w:customStyle="1" w:styleId="162">
    <w:name w:val="副标题 字符"/>
    <w:link w:val="46"/>
    <w:qFormat/>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0"/>
    <w:semiHidden/>
    <w:qFormat/>
    <w:uiPriority w:val="99"/>
    <w:rPr>
      <w:kern w:val="2"/>
      <w:sz w:val="21"/>
      <w:szCs w:val="24"/>
    </w:rPr>
  </w:style>
  <w:style w:type="character" w:customStyle="1" w:styleId="165">
    <w:name w:val="正文首行缩进 2 字符1"/>
    <w:basedOn w:val="142"/>
    <w:semiHidden/>
    <w:qFormat/>
    <w:uiPriority w:val="99"/>
    <w:rPr>
      <w:kern w:val="2"/>
      <w:sz w:val="21"/>
      <w:szCs w:val="24"/>
    </w:rPr>
  </w:style>
  <w:style w:type="character" w:customStyle="1" w:styleId="166">
    <w:name w:val="副标题 字符1"/>
    <w:basedOn w:val="60"/>
    <w:qFormat/>
    <w:uiPriority w:val="0"/>
    <w:rPr>
      <w:rFonts w:asciiTheme="minorHAnsi" w:hAnsiTheme="minorHAnsi" w:eastAsiaTheme="minorEastAsia" w:cstheme="minorBidi"/>
      <w:b/>
      <w:bCs/>
      <w:kern w:val="28"/>
      <w:sz w:val="32"/>
      <w:szCs w:val="32"/>
    </w:rPr>
  </w:style>
  <w:style w:type="character" w:customStyle="1" w:styleId="167">
    <w:name w:val="正文文本 3 字符1"/>
    <w:basedOn w:val="60"/>
    <w:semiHidden/>
    <w:qFormat/>
    <w:uiPriority w:val="99"/>
    <w:rPr>
      <w:kern w:val="2"/>
      <w:sz w:val="16"/>
      <w:szCs w:val="16"/>
    </w:rPr>
  </w:style>
  <w:style w:type="character" w:customStyle="1" w:styleId="168">
    <w:name w:val="信息标题 字符1"/>
    <w:basedOn w:val="60"/>
    <w:semiHidden/>
    <w:qFormat/>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qFormat/>
    <w:uiPriority w:val="99"/>
    <w:rPr>
      <w:b/>
      <w:bCs/>
      <w:kern w:val="2"/>
      <w:sz w:val="21"/>
      <w:szCs w:val="24"/>
    </w:rPr>
  </w:style>
  <w:style w:type="character" w:customStyle="1" w:styleId="170">
    <w:name w:val="正文文本缩进 3 字符1"/>
    <w:basedOn w:val="60"/>
    <w:semiHidden/>
    <w:qFormat/>
    <w:uiPriority w:val="99"/>
    <w:rPr>
      <w:kern w:val="2"/>
      <w:sz w:val="16"/>
      <w:szCs w:val="16"/>
    </w:rPr>
  </w:style>
  <w:style w:type="character" w:customStyle="1" w:styleId="171">
    <w:name w:val="纯文本 字符1"/>
    <w:basedOn w:val="60"/>
    <w:semiHidden/>
    <w:qFormat/>
    <w:uiPriority w:val="99"/>
    <w:rPr>
      <w:rFonts w:hAnsi="Courier New" w:cs="Courier New" w:asciiTheme="minorEastAsia" w:eastAsiaTheme="minorEastAsia"/>
      <w:kern w:val="2"/>
      <w:sz w:val="21"/>
      <w:szCs w:val="24"/>
    </w:rPr>
  </w:style>
  <w:style w:type="character" w:customStyle="1" w:styleId="172">
    <w:name w:val="正文文本 2 字符1"/>
    <w:basedOn w:val="60"/>
    <w:semiHidden/>
    <w:qFormat/>
    <w:uiPriority w:val="99"/>
    <w:rPr>
      <w:kern w:val="2"/>
      <w:sz w:val="21"/>
      <w:szCs w:val="24"/>
    </w:rPr>
  </w:style>
  <w:style w:type="character" w:customStyle="1" w:styleId="173">
    <w:name w:val="正文文本缩进 2 字符1"/>
    <w:basedOn w:val="60"/>
    <w:semiHidden/>
    <w:qFormat/>
    <w:uiPriority w:val="99"/>
    <w:rPr>
      <w:kern w:val="2"/>
      <w:sz w:val="21"/>
      <w:szCs w:val="24"/>
    </w:rPr>
  </w:style>
  <w:style w:type="character" w:customStyle="1" w:styleId="174">
    <w:name w:val="脚注文本 字符1"/>
    <w:basedOn w:val="60"/>
    <w:semiHidden/>
    <w:qFormat/>
    <w:uiPriority w:val="99"/>
    <w:rPr>
      <w:kern w:val="2"/>
      <w:sz w:val="18"/>
      <w:szCs w:val="18"/>
    </w:rPr>
  </w:style>
  <w:style w:type="character" w:customStyle="1" w:styleId="175">
    <w:name w:val="日期 字符1"/>
    <w:basedOn w:val="60"/>
    <w:semiHidden/>
    <w:qFormat/>
    <w:uiPriority w:val="99"/>
    <w:rPr>
      <w:kern w:val="2"/>
      <w:sz w:val="21"/>
      <w:szCs w:val="24"/>
    </w:rPr>
  </w:style>
  <w:style w:type="character" w:customStyle="1" w:styleId="176">
    <w:name w:val="文档结构图 字符1"/>
    <w:basedOn w:val="60"/>
    <w:semiHidden/>
    <w:qFormat/>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qFormat/>
    <w:uiPriority w:val="0"/>
  </w:style>
  <w:style w:type="paragraph" w:customStyle="1" w:styleId="1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qFormat/>
    <w:uiPriority w:val="0"/>
    <w:pPr>
      <w:spacing w:after="443"/>
    </w:pPr>
    <w:rPr>
      <w:color w:val="auto"/>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qFormat/>
    <w:uiPriority w:val="0"/>
    <w:pPr>
      <w:spacing w:line="360" w:lineRule="auto"/>
    </w:pPr>
    <w:rPr>
      <w:rFonts w:eastAsia="仿宋_GB2312"/>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qFormat/>
    <w:uiPriority w:val="0"/>
    <w:pPr>
      <w:keepNext/>
      <w:keepLines/>
      <w:jc w:val="center"/>
    </w:pPr>
    <w:rPr>
      <w:rFonts w:ascii="宋体" w:hAnsi="宋体"/>
      <w:color w:val="000000"/>
      <w:kern w:val="21"/>
      <w:szCs w:val="20"/>
    </w:rPr>
  </w:style>
  <w:style w:type="paragraph" w:customStyle="1" w:styleId="189">
    <w:name w:val="CM28"/>
    <w:basedOn w:val="180"/>
    <w:next w:val="180"/>
    <w:qFormat/>
    <w:uiPriority w:val="0"/>
    <w:rPr>
      <w:rFonts w:cs="Times New Roman"/>
      <w:color w:val="auto"/>
    </w:rPr>
  </w:style>
  <w:style w:type="paragraph" w:customStyle="1" w:styleId="190">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qFormat/>
    <w:uiPriority w:val="0"/>
    <w:pPr>
      <w:spacing w:before="25"/>
      <w:ind w:firstLine="200" w:firstLineChars="200"/>
      <w:jc w:val="left"/>
    </w:pPr>
    <w:rPr>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qFormat/>
    <w:uiPriority w:val="0"/>
    <w:pPr>
      <w:spacing w:after="298"/>
    </w:pPr>
    <w:rPr>
      <w:rFonts w:cs="Times New Roman"/>
      <w:color w:val="auto"/>
    </w:rPr>
  </w:style>
  <w:style w:type="paragraph" w:customStyle="1" w:styleId="1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qFormat/>
    <w:uiPriority w:val="0"/>
    <w:pPr>
      <w:tabs>
        <w:tab w:val="left" w:pos="1134"/>
      </w:tabs>
      <w:spacing w:line="360" w:lineRule="auto"/>
      <w:ind w:left="1134" w:hanging="1134"/>
    </w:pPr>
  </w:style>
  <w:style w:type="paragraph" w:customStyle="1" w:styleId="202">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qFormat/>
    <w:uiPriority w:val="0"/>
    <w:rPr>
      <w:rFonts w:cs="Times New Roman"/>
      <w:color w:val="auto"/>
    </w:rPr>
  </w:style>
  <w:style w:type="paragraph" w:customStyle="1" w:styleId="204">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qFormat/>
    <w:uiPriority w:val="0"/>
    <w:pPr>
      <w:spacing w:line="440" w:lineRule="exact"/>
      <w:ind w:firstLine="420" w:firstLineChars="200"/>
    </w:pPr>
    <w:rPr>
      <w:rFonts w:ascii="华文细黑" w:hAnsi="华文细黑"/>
      <w:kern w:val="0"/>
    </w:rPr>
  </w:style>
  <w:style w:type="paragraph" w:customStyle="1" w:styleId="212">
    <w:name w:val="样式1"/>
    <w:basedOn w:val="1"/>
    <w:next w:val="6"/>
    <w:qFormat/>
    <w:uiPriority w:val="0"/>
    <w:pPr>
      <w:spacing w:line="360" w:lineRule="auto"/>
      <w:ind w:firstLine="420" w:firstLineChars="200"/>
    </w:pPr>
    <w:rPr>
      <w:rFonts w:ascii="宋体" w:hAnsi="宋体"/>
      <w:szCs w:val="21"/>
    </w:rPr>
  </w:style>
  <w:style w:type="paragraph" w:customStyle="1" w:styleId="213">
    <w:name w:val="CM34"/>
    <w:basedOn w:val="180"/>
    <w:next w:val="180"/>
    <w:qFormat/>
    <w:uiPriority w:val="0"/>
    <w:pPr>
      <w:spacing w:line="398" w:lineRule="atLeast"/>
    </w:pPr>
    <w:rPr>
      <w:rFonts w:cs="Times New Roman"/>
      <w:color w:val="auto"/>
    </w:rPr>
  </w:style>
  <w:style w:type="paragraph" w:customStyle="1" w:styleId="214">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qFormat/>
    <w:uiPriority w:val="0"/>
    <w:rPr>
      <w:rFonts w:ascii="Tahoma" w:hAnsi="Tahoma"/>
      <w:sz w:val="24"/>
      <w:szCs w:val="20"/>
    </w:rPr>
  </w:style>
  <w:style w:type="paragraph" w:customStyle="1" w:styleId="21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qFormat/>
    <w:uiPriority w:val="0"/>
    <w:pPr>
      <w:tabs>
        <w:tab w:val="left" w:pos="3150"/>
      </w:tabs>
      <w:ind w:left="210" w:leftChars="100" w:right="100" w:rightChars="100" w:firstLine="359" w:firstLineChars="171"/>
      <w:jc w:val="both"/>
    </w:pPr>
  </w:style>
  <w:style w:type="paragraph" w:customStyle="1" w:styleId="218">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qFormat/>
    <w:uiPriority w:val="0"/>
    <w:pPr>
      <w:spacing w:after="373"/>
    </w:pPr>
    <w:rPr>
      <w:rFonts w:cs="Times New Roman"/>
      <w:color w:val="auto"/>
    </w:rPr>
  </w:style>
  <w:style w:type="paragraph" w:customStyle="1" w:styleId="22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qFormat/>
    <w:uiPriority w:val="0"/>
    <w:pPr>
      <w:tabs>
        <w:tab w:val="left" w:pos="1559"/>
      </w:tabs>
      <w:spacing w:line="360" w:lineRule="auto"/>
      <w:ind w:left="1559" w:hanging="1559"/>
    </w:pPr>
  </w:style>
  <w:style w:type="paragraph" w:customStyle="1" w:styleId="2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qFormat/>
    <w:uiPriority w:val="0"/>
    <w:pPr>
      <w:spacing w:line="400" w:lineRule="atLeast"/>
    </w:pPr>
    <w:rPr>
      <w:rFonts w:cs="Times New Roman"/>
      <w:color w:val="auto"/>
    </w:r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3"/>
    <w:qFormat/>
    <w:uiPriority w:val="0"/>
    <w:rPr>
      <w:rFonts w:ascii="Tahoma" w:hAnsi="Tahoma"/>
      <w:sz w:val="24"/>
    </w:rPr>
  </w:style>
  <w:style w:type="paragraph" w:customStyle="1" w:styleId="228">
    <w:name w:val="CM69"/>
    <w:basedOn w:val="180"/>
    <w:next w:val="180"/>
    <w:qFormat/>
    <w:uiPriority w:val="0"/>
    <w:pPr>
      <w:spacing w:line="400" w:lineRule="atLeast"/>
    </w:pPr>
    <w:rPr>
      <w:rFonts w:cs="Times New Roman"/>
      <w:color w:val="auto"/>
    </w:rPr>
  </w:style>
  <w:style w:type="paragraph" w:customStyle="1" w:styleId="229">
    <w:name w:val="CM36"/>
    <w:basedOn w:val="180"/>
    <w:next w:val="180"/>
    <w:qFormat/>
    <w:uiPriority w:val="0"/>
    <w:pPr>
      <w:spacing w:line="400" w:lineRule="atLeast"/>
    </w:pPr>
    <w:rPr>
      <w:rFonts w:cs="Times New Roman"/>
      <w:color w:val="auto"/>
    </w:rPr>
  </w:style>
  <w:style w:type="paragraph" w:customStyle="1" w:styleId="230">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qFormat/>
    <w:uiPriority w:val="0"/>
    <w:pPr>
      <w:widowControl/>
      <w:spacing w:line="480" w:lineRule="auto"/>
      <w:jc w:val="left"/>
    </w:pPr>
    <w:rPr>
      <w:rFonts w:ascii="宋体" w:hAnsi="宋体"/>
      <w:kern w:val="0"/>
      <w:sz w:val="24"/>
      <w:szCs w:val="20"/>
    </w:rPr>
  </w:style>
  <w:style w:type="paragraph" w:customStyle="1" w:styleId="23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qFormat/>
    <w:uiPriority w:val="0"/>
    <w:pPr>
      <w:spacing w:line="360" w:lineRule="auto"/>
      <w:ind w:left="420" w:firstLine="420"/>
    </w:pPr>
    <w:rPr>
      <w:kern w:val="0"/>
      <w:sz w:val="24"/>
      <w:szCs w:val="20"/>
    </w:rPr>
  </w:style>
  <w:style w:type="paragraph" w:customStyle="1" w:styleId="237">
    <w:name w:val="CM80"/>
    <w:basedOn w:val="180"/>
    <w:next w:val="180"/>
    <w:qFormat/>
    <w:uiPriority w:val="0"/>
    <w:pPr>
      <w:spacing w:line="440" w:lineRule="atLeast"/>
    </w:pPr>
    <w:rPr>
      <w:rFonts w:cs="Times New Roman"/>
      <w:color w:val="auto"/>
    </w:rPr>
  </w:style>
  <w:style w:type="paragraph" w:customStyle="1" w:styleId="238">
    <w:name w:val="CM4"/>
    <w:basedOn w:val="180"/>
    <w:next w:val="180"/>
    <w:qFormat/>
    <w:uiPriority w:val="0"/>
    <w:rPr>
      <w:rFonts w:cs="Times New Roman"/>
      <w:color w:val="auto"/>
    </w:rPr>
  </w:style>
  <w:style w:type="paragraph" w:customStyle="1" w:styleId="23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qFormat/>
    <w:uiPriority w:val="0"/>
    <w:pPr>
      <w:spacing w:line="1020" w:lineRule="atLeast"/>
    </w:pPr>
    <w:rPr>
      <w:rFonts w:cs="Times New Roman"/>
      <w:color w:val="auto"/>
    </w:rPr>
  </w:style>
  <w:style w:type="paragraph" w:customStyle="1" w:styleId="241">
    <w:name w:val="文档正文"/>
    <w:basedOn w:val="1"/>
    <w:qFormat/>
    <w:uiPriority w:val="0"/>
    <w:pPr>
      <w:spacing w:before="25"/>
      <w:ind w:firstLine="200" w:firstLineChars="200"/>
      <w:jc w:val="left"/>
    </w:pPr>
    <w:rPr>
      <w:sz w:val="24"/>
      <w:szCs w:val="20"/>
    </w:rPr>
  </w:style>
  <w:style w:type="paragraph" w:customStyle="1" w:styleId="242">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qFormat/>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qFormat/>
    <w:uiPriority w:val="0"/>
    <w:pPr>
      <w:spacing w:after="530"/>
    </w:pPr>
    <w:rPr>
      <w:rFonts w:cs="Times New Roman"/>
      <w:color w:val="auto"/>
    </w:rPr>
  </w:style>
  <w:style w:type="paragraph" w:customStyle="1" w:styleId="251">
    <w:name w:val="CM35"/>
    <w:basedOn w:val="180"/>
    <w:next w:val="180"/>
    <w:qFormat/>
    <w:uiPriority w:val="0"/>
    <w:pPr>
      <w:spacing w:line="400" w:lineRule="atLeast"/>
    </w:pPr>
    <w:rPr>
      <w:rFonts w:cs="Times New Roman"/>
      <w:color w:val="auto"/>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qFormat/>
    <w:uiPriority w:val="0"/>
    <w:pPr>
      <w:tabs>
        <w:tab w:val="left" w:pos="1276"/>
      </w:tabs>
      <w:spacing w:line="360" w:lineRule="auto"/>
      <w:ind w:left="1276" w:hanging="1276"/>
      <w:outlineLvl w:val="6"/>
    </w:pPr>
  </w:style>
  <w:style w:type="paragraph" w:customStyle="1" w:styleId="254">
    <w:name w:val="CM18"/>
    <w:basedOn w:val="180"/>
    <w:next w:val="180"/>
    <w:qFormat/>
    <w:uiPriority w:val="0"/>
    <w:pPr>
      <w:spacing w:line="313" w:lineRule="atLeast"/>
    </w:pPr>
    <w:rPr>
      <w:rFonts w:cs="Times New Roman"/>
      <w:color w:val="auto"/>
    </w:rPr>
  </w:style>
  <w:style w:type="paragraph" w:customStyle="1" w:styleId="255">
    <w:name w:val="CM94"/>
    <w:basedOn w:val="180"/>
    <w:next w:val="180"/>
    <w:qFormat/>
    <w:uiPriority w:val="0"/>
    <w:pPr>
      <w:spacing w:after="63"/>
    </w:pPr>
    <w:rPr>
      <w:rFonts w:cs="Times New Roman"/>
      <w:color w:val="auto"/>
    </w:rPr>
  </w:style>
  <w:style w:type="paragraph" w:customStyle="1" w:styleId="256">
    <w:name w:val="CM65"/>
    <w:basedOn w:val="180"/>
    <w:next w:val="180"/>
    <w:qFormat/>
    <w:uiPriority w:val="0"/>
    <w:rPr>
      <w:rFonts w:cs="Times New Roman"/>
      <w:color w:val="auto"/>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qFormat/>
    <w:uiPriority w:val="0"/>
    <w:pPr>
      <w:tabs>
        <w:tab w:val="left" w:pos="1418"/>
      </w:tabs>
      <w:snapToGrid w:val="0"/>
      <w:spacing w:line="360" w:lineRule="auto"/>
      <w:ind w:left="1418" w:hanging="1418"/>
      <w:outlineLvl w:val="7"/>
    </w:pPr>
  </w:style>
  <w:style w:type="paragraph" w:customStyle="1" w:styleId="260">
    <w:name w:val="CM23"/>
    <w:basedOn w:val="180"/>
    <w:next w:val="180"/>
    <w:qFormat/>
    <w:uiPriority w:val="0"/>
    <w:pPr>
      <w:spacing w:line="398" w:lineRule="atLeast"/>
    </w:pPr>
    <w:rPr>
      <w:rFonts w:cs="Times New Roman"/>
      <w:color w:val="auto"/>
    </w:rPr>
  </w:style>
  <w:style w:type="paragraph" w:customStyle="1" w:styleId="261">
    <w:name w:val="CM25"/>
    <w:basedOn w:val="180"/>
    <w:next w:val="180"/>
    <w:qFormat/>
    <w:uiPriority w:val="0"/>
    <w:pPr>
      <w:spacing w:line="440" w:lineRule="atLeast"/>
    </w:pPr>
    <w:rPr>
      <w:color w:val="auto"/>
    </w:rPr>
  </w:style>
  <w:style w:type="paragraph" w:customStyle="1" w:styleId="262">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qFormat/>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qFormat/>
    <w:uiPriority w:val="0"/>
    <w:rPr>
      <w:sz w:val="18"/>
      <w:szCs w:val="18"/>
    </w:rPr>
  </w:style>
  <w:style w:type="paragraph" w:customStyle="1" w:styleId="269">
    <w:name w:val="表格文字（大）"/>
    <w:basedOn w:val="1"/>
    <w:qFormat/>
    <w:uiPriority w:val="0"/>
    <w:pPr>
      <w:spacing w:before="20" w:after="20"/>
    </w:pPr>
    <w:rPr>
      <w:rFonts w:ascii="Century Gothic" w:hAnsi="Century Gothic"/>
      <w:sz w:val="24"/>
      <w:szCs w:val="20"/>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qFormat/>
    <w:uiPriority w:val="0"/>
    <w:pPr>
      <w:spacing w:line="400" w:lineRule="atLeast"/>
    </w:pPr>
    <w:rPr>
      <w:rFonts w:cs="Times New Roman"/>
      <w:color w:val="auto"/>
    </w:rPr>
  </w:style>
  <w:style w:type="paragraph" w:customStyle="1" w:styleId="273">
    <w:name w:val="p0"/>
    <w:basedOn w:val="1"/>
    <w:qFormat/>
    <w:uiPriority w:val="0"/>
    <w:pPr>
      <w:widowControl/>
    </w:pPr>
    <w:rPr>
      <w:kern w:val="0"/>
      <w:szCs w:val="21"/>
    </w:rPr>
  </w:style>
  <w:style w:type="paragraph" w:customStyle="1" w:styleId="274">
    <w:name w:val="CM77"/>
    <w:basedOn w:val="180"/>
    <w:next w:val="180"/>
    <w:qFormat/>
    <w:uiPriority w:val="0"/>
    <w:pPr>
      <w:spacing w:line="400" w:lineRule="atLeast"/>
    </w:pPr>
    <w:rPr>
      <w:rFonts w:cs="Times New Roman"/>
      <w:color w:val="auto"/>
    </w:rPr>
  </w:style>
  <w:style w:type="paragraph" w:customStyle="1" w:styleId="275">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qFormat/>
    <w:uiPriority w:val="0"/>
    <w:rPr>
      <w:rFonts w:ascii="Tahoma" w:hAnsi="Tahoma"/>
      <w:sz w:val="24"/>
      <w:szCs w:val="20"/>
    </w:rPr>
  </w:style>
  <w:style w:type="paragraph" w:customStyle="1" w:styleId="279">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qFormat/>
    <w:uiPriority w:val="0"/>
    <w:pPr>
      <w:spacing w:line="313" w:lineRule="atLeast"/>
    </w:pPr>
    <w:rPr>
      <w:rFonts w:cs="Times New Roman"/>
      <w:color w:val="auto"/>
    </w:rPr>
  </w:style>
  <w:style w:type="paragraph" w:customStyle="1" w:styleId="281">
    <w:name w:val="CM95"/>
    <w:basedOn w:val="180"/>
    <w:next w:val="180"/>
    <w:qFormat/>
    <w:uiPriority w:val="0"/>
    <w:pPr>
      <w:spacing w:after="115"/>
    </w:pPr>
    <w:rPr>
      <w:rFonts w:cs="Times New Roman"/>
      <w:color w:val="auto"/>
    </w:rPr>
  </w:style>
  <w:style w:type="paragraph" w:customStyle="1" w:styleId="282">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qFormat/>
    <w:uiPriority w:val="0"/>
    <w:pPr>
      <w:spacing w:line="440" w:lineRule="atLeast"/>
    </w:pPr>
    <w:rPr>
      <w:color w:val="auto"/>
    </w:rPr>
  </w:style>
  <w:style w:type="paragraph" w:customStyle="1" w:styleId="285">
    <w:name w:val="CM1"/>
    <w:basedOn w:val="180"/>
    <w:next w:val="180"/>
    <w:qFormat/>
    <w:uiPriority w:val="0"/>
    <w:rPr>
      <w:rFonts w:cs="Times New Roman"/>
      <w:color w:val="auto"/>
    </w:rPr>
  </w:style>
  <w:style w:type="paragraph" w:customStyle="1" w:styleId="286">
    <w:name w:val="CM46"/>
    <w:basedOn w:val="180"/>
    <w:next w:val="180"/>
    <w:qFormat/>
    <w:uiPriority w:val="0"/>
    <w:rPr>
      <w:rFonts w:cs="Times New Roman"/>
      <w:color w:val="auto"/>
    </w:rPr>
  </w:style>
  <w:style w:type="paragraph" w:customStyle="1" w:styleId="287">
    <w:name w:val="CM44"/>
    <w:basedOn w:val="180"/>
    <w:next w:val="180"/>
    <w:qFormat/>
    <w:uiPriority w:val="0"/>
    <w:pPr>
      <w:spacing w:line="440" w:lineRule="atLeast"/>
    </w:pPr>
    <w:rPr>
      <w:rFonts w:cs="Times New Roman"/>
      <w:color w:val="auto"/>
    </w:rPr>
  </w:style>
  <w:style w:type="paragraph" w:customStyle="1" w:styleId="288">
    <w:name w:val="正文1"/>
    <w:basedOn w:val="1"/>
    <w:qFormat/>
    <w:uiPriority w:val="0"/>
    <w:pPr>
      <w:spacing w:line="360" w:lineRule="auto"/>
    </w:pPr>
    <w:rPr>
      <w:rFonts w:ascii="宋体" w:hAnsi="华文宋体"/>
      <w:kern w:val="20"/>
      <w:sz w:val="24"/>
      <w:szCs w:val="20"/>
    </w:rPr>
  </w:style>
  <w:style w:type="paragraph" w:customStyle="1" w:styleId="289">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qFormat/>
    <w:uiPriority w:val="0"/>
    <w:pPr>
      <w:spacing w:line="400" w:lineRule="atLeast"/>
    </w:pPr>
    <w:rPr>
      <w:rFonts w:cs="Times New Roman"/>
      <w:color w:val="auto"/>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qFormat/>
    <w:uiPriority w:val="0"/>
    <w:rPr>
      <w:rFonts w:cs="Times New Roman"/>
      <w:color w:val="auto"/>
    </w:rPr>
  </w:style>
  <w:style w:type="paragraph" w:customStyle="1" w:styleId="296">
    <w:name w:val="CM62"/>
    <w:basedOn w:val="180"/>
    <w:next w:val="180"/>
    <w:qFormat/>
    <w:uiPriority w:val="0"/>
    <w:pPr>
      <w:spacing w:line="400" w:lineRule="atLeast"/>
    </w:pPr>
    <w:rPr>
      <w:rFonts w:cs="Times New Roman"/>
      <w:color w:val="auto"/>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qFormat/>
    <w:uiPriority w:val="0"/>
    <w:pPr>
      <w:spacing w:line="400" w:lineRule="atLeast"/>
    </w:pPr>
    <w:rPr>
      <w:rFonts w:cs="Times New Roman"/>
      <w:color w:val="auto"/>
    </w:rPr>
  </w:style>
  <w:style w:type="paragraph" w:customStyle="1" w:styleId="30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qFormat/>
    <w:uiPriority w:val="0"/>
    <w:pPr>
      <w:spacing w:line="440" w:lineRule="exact"/>
      <w:ind w:firstLine="420" w:firstLineChars="200"/>
    </w:pPr>
    <w:rPr>
      <w:rFonts w:ascii="华文细黑" w:hAnsi="华文细黑"/>
      <w:kern w:val="0"/>
    </w:rPr>
  </w:style>
  <w:style w:type="paragraph" w:customStyle="1" w:styleId="302">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qFormat/>
    <w:uiPriority w:val="0"/>
    <w:pPr>
      <w:spacing w:line="540" w:lineRule="atLeast"/>
    </w:pPr>
    <w:rPr>
      <w:rFonts w:cs="Times New Roman"/>
      <w:color w:val="auto"/>
    </w:rPr>
  </w:style>
  <w:style w:type="paragraph" w:customStyle="1" w:styleId="304">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qFormat/>
    <w:uiPriority w:val="0"/>
    <w:pPr>
      <w:spacing w:line="440" w:lineRule="atLeast"/>
    </w:pPr>
    <w:rPr>
      <w:rFonts w:cs="Times New Roman"/>
      <w:color w:val="auto"/>
    </w:rPr>
  </w:style>
  <w:style w:type="paragraph" w:customStyle="1" w:styleId="306">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qFormat/>
    <w:uiPriority w:val="0"/>
    <w:pPr>
      <w:spacing w:line="440" w:lineRule="exact"/>
      <w:ind w:firstLine="420" w:firstLineChars="200"/>
    </w:pPr>
    <w:rPr>
      <w:rFonts w:ascii="华文细黑" w:hAnsi="华文细黑"/>
      <w:kern w:val="0"/>
    </w:rPr>
  </w:style>
  <w:style w:type="paragraph" w:customStyle="1" w:styleId="308">
    <w:name w:val="CM57"/>
    <w:basedOn w:val="180"/>
    <w:next w:val="180"/>
    <w:qFormat/>
    <w:uiPriority w:val="0"/>
    <w:pPr>
      <w:spacing w:line="400" w:lineRule="atLeast"/>
    </w:pPr>
    <w:rPr>
      <w:rFonts w:cs="Times New Roman"/>
      <w:color w:val="auto"/>
    </w:rPr>
  </w:style>
  <w:style w:type="paragraph" w:customStyle="1" w:styleId="309">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qFormat/>
    <w:uiPriority w:val="0"/>
    <w:pPr>
      <w:spacing w:line="440" w:lineRule="exact"/>
      <w:ind w:firstLine="420" w:firstLineChars="200"/>
    </w:pPr>
    <w:rPr>
      <w:rFonts w:ascii="华文细黑" w:hAnsi="华文细黑"/>
      <w:kern w:val="0"/>
    </w:rPr>
  </w:style>
  <w:style w:type="paragraph" w:customStyle="1" w:styleId="313">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4">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qFormat/>
    <w:uiPriority w:val="0"/>
  </w:style>
  <w:style w:type="paragraph" w:customStyle="1" w:styleId="316">
    <w:name w:val="CM85"/>
    <w:basedOn w:val="180"/>
    <w:next w:val="180"/>
    <w:qFormat/>
    <w:uiPriority w:val="0"/>
    <w:pPr>
      <w:spacing w:line="443" w:lineRule="atLeast"/>
    </w:pPr>
    <w:rPr>
      <w:rFonts w:cs="Times New Roman"/>
      <w:color w:val="auto"/>
    </w:rPr>
  </w:style>
  <w:style w:type="paragraph" w:customStyle="1" w:styleId="317">
    <w:name w:val="CM29"/>
    <w:basedOn w:val="180"/>
    <w:next w:val="180"/>
    <w:qFormat/>
    <w:uiPriority w:val="0"/>
    <w:pPr>
      <w:spacing w:line="400" w:lineRule="atLeast"/>
    </w:pPr>
    <w:rPr>
      <w:rFonts w:cs="Times New Roman"/>
      <w:color w:val="auto"/>
    </w:rPr>
  </w:style>
  <w:style w:type="paragraph" w:customStyle="1" w:styleId="318">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qFormat/>
    <w:uiPriority w:val="0"/>
    <w:pPr>
      <w:spacing w:after="1508"/>
    </w:pPr>
    <w:rPr>
      <w:rFonts w:cs="Times New Roman"/>
      <w:color w:val="auto"/>
    </w:rPr>
  </w:style>
  <w:style w:type="paragraph" w:customStyle="1" w:styleId="322">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qFormat/>
    <w:uiPriority w:val="0"/>
  </w:style>
  <w:style w:type="paragraph" w:customStyle="1" w:styleId="326">
    <w:name w:val="图例"/>
    <w:basedOn w:val="1"/>
    <w:qFormat/>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qFormat/>
    <w:uiPriority w:val="0"/>
    <w:pPr>
      <w:spacing w:line="500" w:lineRule="atLeast"/>
    </w:pPr>
    <w:rPr>
      <w:rFonts w:cs="Times New Roman"/>
      <w:color w:val="auto"/>
    </w:rPr>
  </w:style>
  <w:style w:type="paragraph" w:customStyle="1" w:styleId="338">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qFormat/>
    <w:uiPriority w:val="0"/>
    <w:pPr>
      <w:spacing w:line="318" w:lineRule="atLeast"/>
    </w:pPr>
    <w:rPr>
      <w:rFonts w:cs="Times New Roman"/>
      <w:color w:val="auto"/>
    </w:rPr>
  </w:style>
  <w:style w:type="paragraph" w:customStyle="1" w:styleId="340">
    <w:name w:val="批注框文本 Char Char"/>
    <w:basedOn w:val="1"/>
    <w:qFormat/>
    <w:uiPriority w:val="0"/>
    <w:pPr>
      <w:spacing w:line="360" w:lineRule="auto"/>
    </w:pPr>
    <w:rPr>
      <w:rFonts w:ascii="宋体" w:hAnsi="宋体"/>
      <w:kern w:val="24"/>
      <w:sz w:val="24"/>
      <w:szCs w:val="20"/>
      <w:lang w:val="sv-SE"/>
    </w:rPr>
  </w:style>
  <w:style w:type="paragraph" w:customStyle="1" w:styleId="341">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qFormat/>
    <w:uiPriority w:val="0"/>
    <w:pPr>
      <w:spacing w:line="440" w:lineRule="atLeast"/>
    </w:pPr>
    <w:rPr>
      <w:rFonts w:cs="Times New Roman"/>
      <w:color w:val="auto"/>
    </w:rPr>
  </w:style>
  <w:style w:type="paragraph" w:customStyle="1" w:styleId="343">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qFormat/>
    <w:uiPriority w:val="0"/>
  </w:style>
  <w:style w:type="paragraph" w:customStyle="1" w:styleId="345">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qFormat/>
    <w:uiPriority w:val="0"/>
    <w:pPr>
      <w:spacing w:line="440" w:lineRule="atLeast"/>
    </w:pPr>
    <w:rPr>
      <w:rFonts w:cs="Times New Roman"/>
      <w:color w:val="auto"/>
    </w:rPr>
  </w:style>
  <w:style w:type="paragraph" w:customStyle="1" w:styleId="3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qFormat/>
    <w:uiPriority w:val="0"/>
    <w:rPr>
      <w:rFonts w:cs="Times New Roman"/>
      <w:color w:val="auto"/>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qFormat/>
    <w:uiPriority w:val="0"/>
    <w:pPr>
      <w:jc w:val="center"/>
      <w:textAlignment w:val="center"/>
    </w:pPr>
    <w:rPr>
      <w:rFonts w:ascii="华文细黑" w:hAnsi="华文细黑"/>
      <w:kern w:val="0"/>
      <w:szCs w:val="20"/>
    </w:rPr>
  </w:style>
  <w:style w:type="paragraph" w:customStyle="1" w:styleId="353">
    <w:name w:val="CM3"/>
    <w:basedOn w:val="180"/>
    <w:next w:val="180"/>
    <w:qFormat/>
    <w:uiPriority w:val="0"/>
    <w:pPr>
      <w:spacing w:line="500" w:lineRule="atLeast"/>
    </w:pPr>
    <w:rPr>
      <w:rFonts w:cs="Times New Roman"/>
      <w:color w:val="auto"/>
    </w:rPr>
  </w:style>
  <w:style w:type="paragraph" w:customStyle="1" w:styleId="354">
    <w:name w:val="CM101"/>
    <w:basedOn w:val="180"/>
    <w:next w:val="180"/>
    <w:qFormat/>
    <w:uiPriority w:val="0"/>
    <w:pPr>
      <w:spacing w:after="800"/>
    </w:pPr>
    <w:rPr>
      <w:rFonts w:cs="Times New Roman"/>
      <w:color w:val="auto"/>
    </w:rPr>
  </w:style>
  <w:style w:type="paragraph" w:customStyle="1" w:styleId="3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qFormat/>
    <w:uiPriority w:val="0"/>
    <w:pPr>
      <w:spacing w:line="440" w:lineRule="atLeast"/>
    </w:pPr>
    <w:rPr>
      <w:rFonts w:cs="Times New Roman"/>
      <w:color w:val="auto"/>
    </w:rPr>
  </w:style>
  <w:style w:type="paragraph" w:customStyle="1" w:styleId="357">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qFormat/>
    <w:uiPriority w:val="0"/>
    <w:pPr>
      <w:spacing w:line="460" w:lineRule="exact"/>
    </w:pPr>
    <w:rPr>
      <w:sz w:val="28"/>
    </w:rPr>
  </w:style>
  <w:style w:type="paragraph" w:customStyle="1" w:styleId="361">
    <w:name w:val="CM83"/>
    <w:basedOn w:val="180"/>
    <w:next w:val="180"/>
    <w:qFormat/>
    <w:uiPriority w:val="0"/>
    <w:pPr>
      <w:spacing w:line="440" w:lineRule="atLeast"/>
    </w:pPr>
    <w:rPr>
      <w:rFonts w:cs="Times New Roman"/>
      <w:color w:val="auto"/>
    </w:rPr>
  </w:style>
  <w:style w:type="paragraph" w:customStyle="1" w:styleId="362">
    <w:name w:val="中文正文"/>
    <w:basedOn w:val="360"/>
    <w:qFormat/>
    <w:uiPriority w:val="0"/>
    <w:rPr>
      <w:sz w:val="24"/>
    </w:rPr>
  </w:style>
  <w:style w:type="paragraph" w:customStyle="1" w:styleId="363">
    <w:name w:val="CM104"/>
    <w:basedOn w:val="180"/>
    <w:next w:val="180"/>
    <w:qFormat/>
    <w:uiPriority w:val="0"/>
    <w:pPr>
      <w:spacing w:after="1318"/>
    </w:pPr>
    <w:rPr>
      <w:rFonts w:cs="Times New Roman"/>
      <w:color w:val="auto"/>
    </w:rPr>
  </w:style>
  <w:style w:type="paragraph" w:customStyle="1" w:styleId="364">
    <w:name w:val="项目符号2"/>
    <w:basedOn w:val="20"/>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qFormat/>
    <w:uiPriority w:val="0"/>
    <w:pPr>
      <w:autoSpaceDE w:val="0"/>
      <w:autoSpaceDN w:val="0"/>
      <w:adjustRightInd w:val="0"/>
      <w:jc w:val="left"/>
    </w:pPr>
    <w:rPr>
      <w:szCs w:val="20"/>
    </w:rPr>
  </w:style>
  <w:style w:type="paragraph" w:customStyle="1" w:styleId="36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qFormat/>
    <w:uiPriority w:val="0"/>
    <w:pPr>
      <w:spacing w:after="570"/>
    </w:pPr>
    <w:rPr>
      <w:rFonts w:cs="Times New Roman"/>
      <w:color w:val="auto"/>
    </w:rPr>
  </w:style>
  <w:style w:type="paragraph" w:customStyle="1" w:styleId="371">
    <w:name w:val="CM19"/>
    <w:basedOn w:val="180"/>
    <w:next w:val="180"/>
    <w:qFormat/>
    <w:uiPriority w:val="0"/>
    <w:pPr>
      <w:spacing w:line="398" w:lineRule="atLeast"/>
    </w:pPr>
    <w:rPr>
      <w:rFonts w:cs="Times New Roman"/>
      <w:color w:val="auto"/>
    </w:rPr>
  </w:style>
  <w:style w:type="paragraph" w:customStyle="1" w:styleId="372">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qFormat/>
    <w:uiPriority w:val="0"/>
    <w:pPr>
      <w:spacing w:after="1040"/>
    </w:pPr>
    <w:rPr>
      <w:rFonts w:cs="Times New Roman"/>
      <w:color w:val="auto"/>
    </w:rPr>
  </w:style>
  <w:style w:type="paragraph" w:customStyle="1" w:styleId="3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qFormat/>
    <w:uiPriority w:val="0"/>
  </w:style>
  <w:style w:type="paragraph" w:customStyle="1" w:styleId="3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qFormat/>
    <w:uiPriority w:val="0"/>
    <w:pPr>
      <w:ind w:firstLine="360" w:firstLineChars="150"/>
    </w:pPr>
    <w:rPr>
      <w:rFonts w:ascii="Tahoma" w:hAnsi="Tahoma"/>
      <w:snapToGrid w:val="0"/>
      <w:sz w:val="24"/>
      <w:szCs w:val="20"/>
    </w:rPr>
  </w:style>
  <w:style w:type="paragraph" w:customStyle="1" w:styleId="380">
    <w:name w:val="CM91"/>
    <w:basedOn w:val="180"/>
    <w:next w:val="180"/>
    <w:qFormat/>
    <w:uiPriority w:val="0"/>
    <w:pPr>
      <w:spacing w:after="160"/>
    </w:pPr>
    <w:rPr>
      <w:rFonts w:cs="Times New Roman"/>
      <w:color w:val="auto"/>
    </w:rPr>
  </w:style>
  <w:style w:type="paragraph" w:customStyle="1" w:styleId="381">
    <w:name w:val="CM39"/>
    <w:basedOn w:val="180"/>
    <w:next w:val="180"/>
    <w:qFormat/>
    <w:uiPriority w:val="0"/>
    <w:pPr>
      <w:spacing w:line="400" w:lineRule="atLeast"/>
    </w:pPr>
    <w:rPr>
      <w:rFonts w:cs="Times New Roman"/>
      <w:color w:val="auto"/>
    </w:rPr>
  </w:style>
  <w:style w:type="paragraph" w:customStyle="1" w:styleId="38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qFormat/>
    <w:uiPriority w:val="0"/>
    <w:pPr>
      <w:spacing w:after="628"/>
    </w:pPr>
    <w:rPr>
      <w:rFonts w:cs="Times New Roman"/>
      <w:color w:val="auto"/>
    </w:rPr>
  </w:style>
  <w:style w:type="paragraph" w:customStyle="1" w:styleId="384">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qFormat/>
    <w:uiPriority w:val="0"/>
    <w:pPr>
      <w:keepNext/>
      <w:widowControl/>
    </w:pPr>
    <w:rPr>
      <w:rFonts w:ascii="Arial" w:hAnsi="Arial" w:eastAsia="Times New Roman"/>
      <w:kern w:val="0"/>
      <w:sz w:val="24"/>
      <w:szCs w:val="20"/>
      <w:lang w:val="en-GB" w:eastAsia="en-US"/>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qFormat/>
    <w:uiPriority w:val="0"/>
    <w:pPr>
      <w:spacing w:line="398" w:lineRule="atLeast"/>
    </w:pPr>
    <w:rPr>
      <w:rFonts w:cs="Times New Roman"/>
      <w:color w:val="auto"/>
    </w:rPr>
  </w:style>
  <w:style w:type="paragraph" w:customStyle="1" w:styleId="393">
    <w:name w:val="CM102"/>
    <w:basedOn w:val="180"/>
    <w:next w:val="180"/>
    <w:qFormat/>
    <w:uiPriority w:val="0"/>
    <w:pPr>
      <w:spacing w:after="878"/>
    </w:pPr>
    <w:rPr>
      <w:rFonts w:cs="Times New Roman"/>
      <w:color w:val="auto"/>
    </w:rPr>
  </w:style>
  <w:style w:type="paragraph" w:customStyle="1" w:styleId="394">
    <w:name w:val="My正文"/>
    <w:basedOn w:val="1"/>
    <w:qFormat/>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6"/>
    <w:qFormat/>
    <w:uiPriority w:val="0"/>
    <w:pPr>
      <w:keepNext/>
      <w:widowControl/>
      <w:tabs>
        <w:tab w:val="left" w:pos="1140"/>
      </w:tabs>
      <w:spacing w:before="120" w:after="120"/>
      <w:jc w:val="center"/>
    </w:pPr>
    <w:rPr>
      <w:b/>
      <w:sz w:val="24"/>
      <w:szCs w:val="20"/>
    </w:rPr>
  </w:style>
  <w:style w:type="paragraph" w:customStyle="1" w:styleId="3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6"/>
    <w:qFormat/>
    <w:uiPriority w:val="0"/>
    <w:pPr>
      <w:keepNext/>
      <w:spacing w:after="160"/>
    </w:pPr>
    <w:rPr>
      <w:sz w:val="21"/>
      <w:szCs w:val="20"/>
    </w:rPr>
  </w:style>
  <w:style w:type="paragraph" w:customStyle="1" w:styleId="400">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0"/>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0"/>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1737</Words>
  <Characters>9903</Characters>
  <Lines>82</Lines>
  <Paragraphs>23</Paragraphs>
  <TotalTime>2</TotalTime>
  <ScaleCrop>false</ScaleCrop>
  <LinksUpToDate>false</LinksUpToDate>
  <CharactersWithSpaces>11617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Arianna</cp:lastModifiedBy>
  <cp:lastPrinted>2020-10-16T03:06:00Z</cp:lastPrinted>
  <dcterms:modified xsi:type="dcterms:W3CDTF">2020-10-21T01:50:19Z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