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重庆机场集团有限公司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eastAsia="zh-CN"/>
        </w:rPr>
      </w:pPr>
      <w:r>
        <w:rPr>
          <w:rFonts w:hint="eastAsia" w:ascii="仿宋_GB2312" w:hAnsi="仿宋" w:eastAsia="仿宋_GB2312"/>
          <w:b/>
          <w:color w:val="auto"/>
          <w:sz w:val="44"/>
          <w:szCs w:val="44"/>
          <w:u w:val="single"/>
          <w:lang w:val="en-US" w:eastAsia="zh-CN"/>
        </w:rPr>
        <w:t>购买消防救援装备器材</w:t>
      </w:r>
      <w:r>
        <w:rPr>
          <w:rFonts w:hint="eastAsia" w:ascii="仿宋_GB2312" w:hAnsi="仿宋" w:eastAsia="仿宋_GB2312"/>
          <w:b/>
          <w:color w:val="auto"/>
          <w:sz w:val="44"/>
          <w:szCs w:val="44"/>
          <w:u w:val="single"/>
        </w:rPr>
        <w:t>项目</w:t>
      </w:r>
      <w:r>
        <w:rPr>
          <w:rFonts w:hint="eastAsia" w:ascii="仿宋_GB2312" w:hAnsi="仿宋" w:eastAsia="仿宋_GB2312"/>
          <w:b/>
          <w:color w:val="auto"/>
          <w:sz w:val="44"/>
          <w:szCs w:val="44"/>
          <w:u w:val="single"/>
          <w:lang w:eastAsia="zh-CN"/>
        </w:rPr>
        <w:t>（</w:t>
      </w:r>
      <w:r>
        <w:rPr>
          <w:rFonts w:hint="eastAsia" w:ascii="仿宋_GB2312" w:hAnsi="仿宋" w:eastAsia="仿宋_GB2312"/>
          <w:b/>
          <w:color w:val="auto"/>
          <w:sz w:val="44"/>
          <w:szCs w:val="44"/>
          <w:u w:val="single"/>
          <w:lang w:val="en-US" w:eastAsia="zh-CN"/>
        </w:rPr>
        <w:t>第三次</w:t>
      </w:r>
      <w:r>
        <w:rPr>
          <w:rFonts w:hint="eastAsia" w:ascii="仿宋_GB2312" w:hAnsi="仿宋" w:eastAsia="仿宋_GB2312"/>
          <w:b/>
          <w:color w:val="auto"/>
          <w:sz w:val="44"/>
          <w:szCs w:val="44"/>
          <w:u w:val="single"/>
          <w:lang w:eastAsia="zh-CN"/>
        </w:rPr>
        <w:t>）</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rPr>
        <w:t>耗材20</w:t>
      </w:r>
      <w:r>
        <w:rPr>
          <w:rFonts w:hint="eastAsia" w:ascii="仿宋_GB2312" w:eastAsia="仿宋_GB2312"/>
          <w:b/>
          <w:color w:val="auto"/>
          <w:sz w:val="32"/>
          <w:u w:val="single"/>
          <w:lang w:val="en-US" w:eastAsia="zh-CN"/>
        </w:rPr>
        <w:t>20</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重庆机场集团有限公司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〇年</w:t>
      </w:r>
      <w:r>
        <w:rPr>
          <w:rFonts w:hint="eastAsia" w:ascii="仿宋_GB2312" w:eastAsia="仿宋_GB2312"/>
          <w:b/>
          <w:color w:val="auto"/>
          <w:sz w:val="32"/>
          <w:szCs w:val="32"/>
          <w:lang w:val="en-US" w:eastAsia="zh-CN"/>
        </w:rPr>
        <w:t>八</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购买消防救援装备器材</w:t>
      </w:r>
      <w:r>
        <w:rPr>
          <w:rFonts w:hint="eastAsia" w:ascii="仿宋_GB2312" w:hAnsi="仿宋" w:eastAsia="仿宋_GB2312"/>
          <w:b/>
          <w:color w:val="auto"/>
          <w:sz w:val="36"/>
          <w:szCs w:val="36"/>
        </w:rPr>
        <w:t>项目</w:t>
      </w:r>
      <w:r>
        <w:rPr>
          <w:rFonts w:hint="eastAsia" w:ascii="仿宋_GB2312" w:hAnsi="仿宋" w:eastAsia="仿宋_GB2312"/>
          <w:b/>
          <w:color w:val="auto"/>
          <w:sz w:val="36"/>
          <w:szCs w:val="36"/>
          <w:lang w:val="en-US" w:eastAsia="zh-CN"/>
        </w:rPr>
        <w:t>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购买消防救援装备器材</w:t>
      </w:r>
      <w:r>
        <w:rPr>
          <w:rFonts w:hint="eastAsia" w:ascii="仿宋_GB2312" w:eastAsia="仿宋_GB2312"/>
          <w:color w:val="auto"/>
          <w:sz w:val="28"/>
          <w:szCs w:val="28"/>
          <w:u w:val="single"/>
        </w:rPr>
        <w:t>项目</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营业执照注册经营范围须包含“消防器材</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本项目内消防战斗服、消防水带、9L正压式空气呼吸器为核心产品，若为经销商参加比选，须提供本项目内所有核心产品生产厂家</w:t>
      </w:r>
      <w:r>
        <w:rPr>
          <w:rFonts w:hint="eastAsia" w:ascii="仿宋_GB2312" w:eastAsia="仿宋_GB2312"/>
          <w:color w:val="auto"/>
          <w:sz w:val="28"/>
          <w:szCs w:val="28"/>
          <w:u w:val="single"/>
        </w:rPr>
        <w:t>针对本项目的授权书</w:t>
      </w:r>
      <w:r>
        <w:rPr>
          <w:rFonts w:hint="eastAsia" w:ascii="仿宋_GB2312" w:eastAsia="仿宋_GB2312"/>
          <w:color w:val="auto"/>
          <w:sz w:val="28"/>
          <w:szCs w:val="28"/>
          <w:u w:val="single"/>
          <w:lang w:val="en-US" w:eastAsia="zh-CN"/>
        </w:rPr>
        <w:t>原件</w:t>
      </w:r>
      <w:r>
        <w:rPr>
          <w:rFonts w:hint="eastAsia" w:ascii="仿宋_GB2312" w:eastAsia="仿宋_GB2312"/>
          <w:color w:val="auto"/>
          <w:sz w:val="28"/>
          <w:szCs w:val="28"/>
          <w:u w:val="single"/>
        </w:rPr>
        <w:t>；</w:t>
      </w:r>
    </w:p>
    <w:p>
      <w:pPr>
        <w:spacing w:line="480"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1.1.</w:t>
      </w:r>
      <w:r>
        <w:rPr>
          <w:rFonts w:hint="eastAsia" w:ascii="仿宋_GB2312" w:eastAsia="仿宋_GB2312"/>
          <w:color w:val="auto"/>
          <w:sz w:val="28"/>
          <w:szCs w:val="28"/>
          <w:u w:val="none"/>
          <w:lang w:val="en-US" w:eastAsia="zh-CN"/>
        </w:rPr>
        <w:t xml:space="preserve">5   </w:t>
      </w:r>
      <w:r>
        <w:rPr>
          <w:rFonts w:hint="eastAsia" w:ascii="仿宋_GB2312" w:eastAsia="仿宋_GB2312"/>
          <w:color w:val="auto"/>
          <w:sz w:val="28"/>
          <w:szCs w:val="28"/>
          <w:u w:val="single"/>
          <w:lang w:val="en-US" w:eastAsia="zh-CN"/>
        </w:rPr>
        <w:t>项目所包含的</w:t>
      </w:r>
      <w:r>
        <w:rPr>
          <w:rFonts w:hint="eastAsia" w:ascii="仿宋_GB2312" w:eastAsia="仿宋_GB2312"/>
          <w:color w:val="auto"/>
          <w:sz w:val="28"/>
          <w:szCs w:val="28"/>
          <w:u w:val="single"/>
        </w:rPr>
        <w:t>强制认证产品</w:t>
      </w:r>
      <w:r>
        <w:rPr>
          <w:rFonts w:hint="eastAsia" w:ascii="仿宋_GB2312" w:eastAsia="仿宋_GB2312"/>
          <w:color w:val="auto"/>
          <w:sz w:val="28"/>
          <w:szCs w:val="28"/>
          <w:u w:val="single"/>
          <w:lang w:val="en-US" w:eastAsia="zh-CN"/>
        </w:rPr>
        <w:t>须</w:t>
      </w:r>
      <w:r>
        <w:rPr>
          <w:rFonts w:hint="eastAsia" w:ascii="仿宋_GB2312" w:eastAsia="仿宋_GB2312"/>
          <w:color w:val="auto"/>
          <w:sz w:val="28"/>
          <w:szCs w:val="28"/>
          <w:u w:val="single"/>
        </w:rPr>
        <w:t>取得国家强制性产品认证且能在《中国消防产品质量信息</w:t>
      </w:r>
      <w:r>
        <w:rPr>
          <w:rFonts w:hint="eastAsia" w:ascii="仿宋_GB2312" w:eastAsia="仿宋_GB2312"/>
          <w:color w:val="auto"/>
          <w:sz w:val="28"/>
          <w:szCs w:val="28"/>
          <w:u w:val="single"/>
          <w:lang w:val="en-US" w:eastAsia="zh-CN"/>
        </w:rPr>
        <w:t>查询系统</w:t>
      </w:r>
      <w:r>
        <w:rPr>
          <w:rFonts w:hint="eastAsia" w:ascii="仿宋_GB2312" w:eastAsia="仿宋_GB2312"/>
          <w:color w:val="auto"/>
          <w:sz w:val="28"/>
          <w:szCs w:val="28"/>
          <w:u w:val="single"/>
        </w:rPr>
        <w:t>》查询。（</w:t>
      </w:r>
      <w:r>
        <w:rPr>
          <w:rFonts w:hint="eastAsia" w:ascii="仿宋_GB2312" w:eastAsia="仿宋_GB2312"/>
          <w:color w:val="auto"/>
          <w:sz w:val="28"/>
          <w:szCs w:val="28"/>
          <w:u w:val="single"/>
          <w:lang w:val="en-US" w:eastAsia="zh-CN"/>
        </w:rPr>
        <w:t>提供相关证书复印件并</w:t>
      </w:r>
      <w:r>
        <w:rPr>
          <w:rFonts w:hint="eastAsia" w:ascii="仿宋_GB2312" w:eastAsia="仿宋_GB2312"/>
          <w:color w:val="auto"/>
          <w:sz w:val="28"/>
          <w:szCs w:val="28"/>
          <w:u w:val="single"/>
        </w:rPr>
        <w:t>加盖公章）</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2消防</w:t>
      </w:r>
      <w:r>
        <w:rPr>
          <w:rFonts w:hint="eastAsia" w:ascii="仿宋_GB2312" w:eastAsia="仿宋_GB2312"/>
          <w:b/>
          <w:bCs/>
          <w:color w:val="auto"/>
          <w:sz w:val="28"/>
          <w:szCs w:val="28"/>
          <w:u w:val="none"/>
          <w:lang w:val="en-US" w:eastAsia="zh-CN"/>
        </w:rPr>
        <w:t>救援装备器材</w:t>
      </w:r>
      <w:r>
        <w:rPr>
          <w:rFonts w:hint="eastAsia" w:ascii="仿宋_GB2312" w:hAnsi="Calibri" w:eastAsia="仿宋_GB2312"/>
          <w:b/>
          <w:color w:val="auto"/>
          <w:sz w:val="28"/>
          <w:szCs w:val="28"/>
        </w:rPr>
        <w:t>明细</w:t>
      </w:r>
    </w:p>
    <w:tbl>
      <w:tblPr>
        <w:tblStyle w:val="17"/>
        <w:tblW w:w="8183" w:type="dxa"/>
        <w:jc w:val="center"/>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440"/>
        <w:gridCol w:w="780"/>
        <w:gridCol w:w="840"/>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44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装备名称</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84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106"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规格型号及要求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消防水带</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★1、技术性能符合GB6246-2011《消防水带》的相关要求，提供国家消防装备质量监督检验中心检验报告和产品消防产品认证证书。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2、水带内径：63.5mm，标准工作压力：1.6Mpa，爆破压力：≥4.8Mpa。</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3、每盘长度20米，整盘水带的重量轻便，便于消防战士使用；水带单位长度的质量≤235g/m。水带在高压水流的作用下，抗形变能力良好，轴向延伸率≤3.5％，直径膨胀率≤4.5％（参数指标需在检验报告中体现）。</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4、水带的可弯曲型，黏附性，耐低温性能均需满足相关要求。</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5、经过热空气老化后，织物层与衬里的附着强度，爆破压力均需满足相关要求。</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6、水带两端应注明：厂名、编号、原料、公称内径、长度、生产日期、设计工作压力。供方须按采购人要求喷涂标识。</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7、接口外观质量：表面平整、光洁，表面应进行黑色阳极氧化处理；加工表面应无损伤，无结疤、裂痕、砂眼</w:t>
            </w:r>
          </w:p>
          <w:p>
            <w:pPr>
              <w:widowControl/>
              <w:adjustRightInd w:val="0"/>
              <w:snapToGrid w:val="0"/>
              <w:spacing w:line="0" w:lineRule="atLeast"/>
              <w:jc w:val="both"/>
              <w:rPr>
                <w:rFonts w:hint="eastAsia" w:ascii="仿宋" w:hAnsi="仿宋" w:eastAsia="仿宋" w:cs="仿宋"/>
                <w:kern w:val="0"/>
                <w:sz w:val="28"/>
                <w:szCs w:val="28"/>
              </w:rPr>
            </w:pPr>
            <w:r>
              <w:rPr>
                <w:rFonts w:hint="eastAsia" w:ascii="仿宋" w:hAnsi="仿宋" w:eastAsia="仿宋" w:cs="仿宋"/>
                <w:kern w:val="0"/>
                <w:sz w:val="18"/>
                <w:szCs w:val="18"/>
              </w:rPr>
              <w:t>8、衬里若为国外进口聚氨酯的，须提供进口证明材料复印件加盖制造商公章。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消防战斗服</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38</w:t>
            </w:r>
          </w:p>
        </w:tc>
        <w:tc>
          <w:tcPr>
            <w:tcW w:w="4106"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★符合GA10-2014标准，提供国家消防装备质量监督检验中心检验报告和产品消防产品认证证书。</w:t>
            </w:r>
          </w:p>
          <w:p>
            <w:pPr>
              <w:widowControl/>
              <w:adjustRightInd w:val="0"/>
              <w:snapToGrid w:val="0"/>
              <w:spacing w:line="0" w:lineRule="atLeast"/>
              <w:jc w:val="both"/>
              <w:rPr>
                <w:rFonts w:hint="eastAsia" w:ascii="仿宋" w:hAnsi="仿宋" w:eastAsia="仿宋" w:cs="仿宋"/>
                <w:kern w:val="0"/>
                <w:sz w:val="24"/>
              </w:rPr>
            </w:pPr>
            <w:r>
              <w:rPr>
                <w:rFonts w:hint="eastAsia" w:ascii="仿宋" w:hAnsi="仿宋" w:eastAsia="仿宋" w:cs="仿宋"/>
                <w:kern w:val="0"/>
                <w:sz w:val="18"/>
                <w:szCs w:val="18"/>
              </w:rPr>
              <w:t>款式、颜色、标识、号型尺码均应符合17式消防员灭火防护服款式标识统型要求；防护服采用三层结构，分别是外层、防水透气层(隔热层)和舒适层。防护服具备阻燃、轻便、抗拉力强、防静电和标识醒目等优点，可保护消防员进行长时间灭火战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材料和构造：</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一、主体结构。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1、上下分体式结构，上衣和裤子间重叠部分应不小于200mm。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2、衣领。衣领为立领，前领设护领，衣领内侧采用顺色贴肤舒适面料。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3、反光标识带。上衣在胸部、下摆、袖口各设1条360度环形反光标识带，裤子在小腿部各设1条360度环形反光标志带。反光标志带宽度为50.8mm（2英寸），颜色为黄银黄。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4、裤子裆部。裤子裆部采用一体式设计。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5、裤子背带。配H 型背带，背带应可调节长度，可拆卸。</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6、上衣前门襟拉锁号型为8号。</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二、附属结构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1、口袋。上衣左胸外设电台立体口袋，内设内插袋，下摆设置外贴袋。大腿外侧各设工具袋1个。所有外口袋均设置漏水孔。</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2、左臂魔术贴。左上臂外侧设90mm×110mm盾牌型魔术贴并配盾牌型标识。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3、袖口。袖口处采用圆弧形设计，外层材料包边，设置收紧调节袢，并配置罗纹防护护腕，罗纹防护护腕开拇指孔，内部设置止水布。</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4、上衣门襟。上衣门襟魔术贴为贯通式。</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5、上衣下摆。上衣舒适层下摆设置止水布。</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6、裤脚口。裤脚口处采用圆弧形设计，内部设置止水布，内侧设置拉链，裤脚设耐磨材料包边。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7、补强处理。肩、肘、膝部应采用耐磨层加厚处理，耐磨层应柔软且易于清洗。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8、左右肩部设有两个挂袢。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三、技术性能：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1、整体热防护性能 TPP≥30.2 cal/c㎡，整套衣服重量≤2.912kg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2、外层：阻燃性能：续燃时间≤0s，损毁长度：经向≤15mm，纬向≤19 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3、防水透气层（隔热层）：阻燃性能：续燃时间：经、纬向≤0s；损毁长度：经向≤39mm，纬向≤45 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4、舒适层：阻燃性能：续燃时间：经、纬向≤0s；损毁长度mm：经向≤42mm，纬向≤40mm，没有熔融、滴落现象；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5、反光标志带：阻燃性能：续燃时间：经、纬向≤0s；损毁长度：经向≤21mm，纬向≤16mm，没有熔融、滴落现象；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6、外层加强材料：阻燃性能：经向：续燃时间：经、纬≤0s；损毁长度：经向≤16mm，纬向≤16mm，没有熔融、滴落现象；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7、表面抗湿性能：外层3级；</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8、断裂强力：外层经向≥1049N；纬向≥996N:；舒适层经向≥427N；纬向≥338N:；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9、撕破强力：经向≥317 N，纬向≥276 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10、接缝断裂强力：经向≥833 N，纬向≥734 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11、单位面积质量（g/㎡）：外层：213（±1）；防水透气层：177（±1）；舒适层：120（±1）；</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12、防水透气层：耐静水压：≥50KPa；拒油性能≥3级；透湿率:6072g/m2•24h；抗油性能（级）≥3；针距密度：明暗线（针/3cm）≥12；</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13、外观：各部位整烫平服、整洁、无烫黄、水渍、亮光、粉印、线头；衣领平服、不翻翘；对称部位基本一致；粘合衬不会有脱胶及表面渗胶；标签位置正确，号型标志准确清晰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消防战斗靴</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双</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60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★符合GA6－2004标准，提供国家消防装备质量监督检验中心检验报告和产品消防产品认证证书。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特性：防滑、防电击、耐穿刺、阻燃、隔热、防砸。抗刺穿性能1400N；重量＜2.57kg；规格：38－45码。电绝缘性能：击穿电压＞5000V、泄漏电流0.057mA，隔热性能5.8℃，抗辐射热渗透性能6.8℃，用于小腿部和足部防护。</w:t>
            </w:r>
          </w:p>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主体为黑色，辅以醒目的金黄色。靴底和靴面均采用优质高温阻燃耐酸碱天然橡胶材料制成。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9L正压式空气呼吸器</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★符合GA124-2013《正压式消防空气呼吸器》标准，提供国家消防装备质量监督检验中心检验报告和产品消防产品认证证书。</w:t>
            </w:r>
          </w:p>
          <w:p>
            <w:pPr>
              <w:widowControl/>
              <w:numPr>
                <w:ilvl w:val="0"/>
                <w:numId w:val="4"/>
              </w:numPr>
              <w:jc w:val="both"/>
              <w:rPr>
                <w:rFonts w:hint="eastAsia" w:ascii="仿宋" w:hAnsi="仿宋" w:eastAsia="仿宋" w:cs="仿宋"/>
                <w:kern w:val="0"/>
                <w:sz w:val="18"/>
                <w:szCs w:val="18"/>
              </w:rPr>
            </w:pPr>
            <w:r>
              <w:rPr>
                <w:rFonts w:hint="eastAsia" w:ascii="仿宋" w:hAnsi="仿宋" w:eastAsia="仿宋" w:cs="仿宋"/>
                <w:kern w:val="0"/>
                <w:sz w:val="18"/>
                <w:szCs w:val="18"/>
              </w:rPr>
              <w:t>复合气瓶：容积9L。</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2、工作压力：30MPa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3、减压器输出压力：0.5～0.9 MPa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4、使用时间：≥75min（按30L/min计算）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5、报警压力：5.5±0.5 MPa，连续声响时间＞15s</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6、报警后使用时间：15min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7、整机重量：＜13Kg（气瓶压力30 MPa时）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8、安全阀开启压力：1.1～1.7 MPa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9、供气阀最大供气流量：＞500L/min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10、最大吸气阻力：≤500Pa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11、最大呼气阻力：≤1000Pa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12、报警声声级：≥92dB</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13、使用温度：-30～+60℃</w:t>
            </w:r>
          </w:p>
          <w:p>
            <w:pPr>
              <w:widowControl/>
              <w:numPr>
                <w:ilvl w:val="0"/>
                <w:numId w:val="5"/>
              </w:numPr>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压力平视显示装置采用无线连接，发射装置检测压力信号通过无线传输给接受装置，转化为不同颜色的LED，显示气瓶压力值范围。</w:t>
            </w:r>
          </w:p>
          <w:p>
            <w:pPr>
              <w:widowControl/>
              <w:numPr>
                <w:ilvl w:val="0"/>
                <w:numId w:val="5"/>
              </w:numPr>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胸前须有他救接口。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空气呼吸器面罩</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20</w:t>
            </w:r>
          </w:p>
        </w:tc>
        <w:tc>
          <w:tcPr>
            <w:tcW w:w="4106" w:type="dxa"/>
            <w:vAlign w:val="center"/>
          </w:tcPr>
          <w:p>
            <w:pPr>
              <w:widowControl/>
              <w:numPr>
                <w:ilvl w:val="0"/>
                <w:numId w:val="6"/>
              </w:numPr>
              <w:jc w:val="both"/>
              <w:rPr>
                <w:rFonts w:hint="eastAsia" w:ascii="仿宋" w:hAnsi="仿宋" w:eastAsia="仿宋" w:cs="仿宋"/>
                <w:kern w:val="0"/>
                <w:sz w:val="18"/>
                <w:szCs w:val="18"/>
              </w:rPr>
            </w:pPr>
            <w:r>
              <w:rPr>
                <w:rFonts w:hint="eastAsia" w:ascii="仿宋" w:hAnsi="仿宋" w:eastAsia="仿宋" w:cs="仿宋"/>
                <w:kern w:val="0"/>
                <w:sz w:val="18"/>
                <w:szCs w:val="18"/>
              </w:rPr>
              <w:t>球形面罩，视野率≥85%，双目视野保留率≥55%，下方视野≥35%，镜面透光率达99%，镜面硬化处理，长久防刮擦。吸人气体中的二氧化碳含量(按体积比)≤1%。面罩内具有防雾功能，任何情况下不产生雾气。面罩与皮肤接触部位均采用硅胶材质，面罩头网采用Kevlar阻燃材料。头网五点式收紧。</w:t>
            </w:r>
          </w:p>
          <w:p>
            <w:pPr>
              <w:widowControl/>
              <w:numPr>
                <w:ilvl w:val="0"/>
                <w:numId w:val="6"/>
              </w:numPr>
              <w:jc w:val="both"/>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须与本表第4项</w:t>
            </w:r>
            <w:r>
              <w:rPr>
                <w:rFonts w:hint="eastAsia" w:ascii="仿宋" w:hAnsi="仿宋" w:eastAsia="仿宋" w:cs="仿宋"/>
                <w:kern w:val="0"/>
                <w:sz w:val="18"/>
                <w:szCs w:val="18"/>
              </w:rPr>
              <w:t>9L正压式空气呼吸器</w:t>
            </w:r>
            <w:r>
              <w:rPr>
                <w:rFonts w:hint="eastAsia" w:ascii="仿宋" w:hAnsi="仿宋" w:eastAsia="仿宋" w:cs="仿宋"/>
                <w:kern w:val="0"/>
                <w:sz w:val="18"/>
                <w:szCs w:val="18"/>
                <w:lang w:val="en-US" w:eastAsia="zh-CN"/>
              </w:rPr>
              <w:t>面罩为同一型号产品。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6</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消防头盔</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48</w:t>
            </w:r>
          </w:p>
        </w:tc>
        <w:tc>
          <w:tcPr>
            <w:tcW w:w="4106"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★产品符合GA44-2015《消防头盔》的标准，提供国家消防装备质量监督检验中心检验报告和产品消防产品认证证书书。</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可保护头部，防止冲击、锐物、热辐射、火焰。质轻，稳定，可提供最大保护；还具有优异的防紫外线功能，良好的通风性能，高舒适性；帽箍可在53-63CM范围内自由调节，适合不同尺寸头型使用。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17式消防头盔采取多功能模块化滑轨设计，指挥员头盔为红色，战斗员头盔为黄色</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一、结构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1、由盔壳、滑轨、缓冲层、舒适衬垫、佩戴装置、面罩、披肩等组成。</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2、盔壳：改性阻燃尼龙材质，战斗员头盔为黄色。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3、滑轨：盔体两侧设黑色多功能模块化滑轨，为改性阻燃尼龙材质。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4、缓冲层：聚苯乙烯发泡树脂材质，颜色为黑色。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5、舒适衬垫：顶部为芳纶网状衬垫，四周为革质舒适层（与帽箍一体）可调节戴帽高度。</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6、佩戴装置：包括帽箍和系带，为改性阻燃尼龙66材质。在盔体后沿下侧设头围调节旋钮，调节范围为540mm～620mm；系带可调节佩戴松紧，加装可拆洗阻燃舒适软垫；插扣为快脱插扣。</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7、反光标识：两侧粘贴弧形反光标识条带，颜色为荧光黄色，潘通色号为PANTONE 809C；宽度为30±1mm，长度为226±2mm，弧形总高52±1mm。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8、所有可调节扣件全部采用黄色，为改性阻燃尼龙66材料。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二、技术性能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1、冲击吸收性能：高温预处理头模所受到的最大冲击力≤3124N；辐射热预处理头模所受到的最大冲击力≤3186N；低温预处理头模所受到的最大冲击力≤3349N；浸水预处理头模所受到的最大冲击力≤3028N；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2、抗冲击力加速度性能：帽顶部≤133gn；帽前部≤320gn；帽侧部≤331gn；帽后部≤325gn；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3、阻燃性能：下颚带：损毁长度≤6，续燃时间≤0；没有熔滴、滴落现象；披肩：损毁长度≤21，续燃时间≤0；没有熔滴、滴落现象；面屏：续燃时间≤0；没有熔滴、滴落现象；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电绝缘性能：盔壳泄露电流≤1.1mA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4、下颚带抗拉强度：延伸长度≤12.5mm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5、侧向刚性：帽壳最大变形≤24mm；卸载后变形≤2mm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6、质量≤1095g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7</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铁铤</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把</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w:t>
            </w:r>
          </w:p>
        </w:tc>
        <w:tc>
          <w:tcPr>
            <w:tcW w:w="4106"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手柄刷红色消防漆，主要用于铲洒消防防、清除障碍物、清理现场及易燃物，铲沙扑救流淌火，破拆一般的结构。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8</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丁字型井盖钩</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把</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50</w:t>
            </w:r>
          </w:p>
        </w:tc>
        <w:tc>
          <w:tcPr>
            <w:tcW w:w="4106"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高强度材质构成，用于井盖的装卸，易携带。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9</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战术背心</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件</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4106"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印字和反光条，左胸和右胸位置各两条扣带挂对讲机，下边前后各一对大一点的带盖口袋。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可燃气体测量仪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检测气体：可燃，硫化氢，温湿度,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检测范围：：可燃 0-100%LEL 硫化氢0-100ppm，温湿度 温度-40℃~+120℃，湿度0-100%RH</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分 辨 率：：0.1ppm，更高分辨率可订制</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检测方式：内置泵吸式，流量500毫升/分钟</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显示方式：2.31寸320X240高清彩屏显示,5按键操作</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检测精度：≤±3%（F.S）</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线 性 度：≤±2%</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重 复 性：≤±2%</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报警方式：声光报警、振动报警、视觉报警、声光+振动+视觉报警、关闭报警可选</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响应时间：T90≤20秒</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恢复时间：≤30秒</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工作电源：DC3.6V</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电池容量：3.6VDC，4500mA大容量可充电高分子聚合物电池 ,带过充、过放、过压、过热、短路保护功能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使用环境：温度-40℃~+70℃；相对湿度≤0-99%RH（内置过滤器可在高湿度或高粉尘环境使用）</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样气温度：-40℃~+70℃ ，选配高温采样降温过滤手柄，可检测400度或更高温度的烟气浓度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温度测量：-40℃~+120℃（选配）  精度0.5℃</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湿度测量：0-100%RH（选配）     精度3%RH</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数据存储：标配10万条数据容量，支持本机查看、删除或数据导出，免费上位机通讯软件</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存储功能默认为关闭状态，可设置为开启状态，存储时间间隔任意设置</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通讯接口：USB（充电与通讯）</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界面语言：中文或英文可设置，默认中文界面</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防爆标志：Exia II CT6</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防护等级：IP65，防尘、防水溅</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外型尺寸：160×70×28mm(L×W×H)</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重    量：300g</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标准附件：说明书、合格证、保修卡、USB充电器（含数据线）、高档铝合金仪器箱 、</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光盘（上位机通讯软件）、湿度粉尘过滤器1个</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选配附件：温湿度测量功能、1.2 m 可伸缩采样手柄（1-10米软管，标准长度1米）、</w:t>
            </w:r>
          </w:p>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高温采样降温过滤手柄、高温高湿预处理系统、湿度粉尘过滤器多个、挂绳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6"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11</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温度测量仪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测量范围：-50℃-1150℃</w:t>
            </w:r>
          </w:p>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测量准确度：±2%or±</w:t>
            </w:r>
            <w:r>
              <w:rPr>
                <w:rFonts w:hint="eastAsia" w:ascii="仿宋" w:hAnsi="仿宋" w:eastAsia="仿宋" w:cs="仿宋"/>
                <w:kern w:val="0"/>
                <w:sz w:val="18"/>
                <w:szCs w:val="18"/>
                <w:lang w:val="en-US" w:eastAsia="zh-CN"/>
              </w:rPr>
              <w:t>2</w:t>
            </w:r>
          </w:p>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测量物距比;20:</w:t>
            </w:r>
            <w:r>
              <w:rPr>
                <w:rFonts w:hint="eastAsia" w:ascii="仿宋" w:hAnsi="仿宋" w:eastAsia="仿宋" w:cs="仿宋"/>
                <w:kern w:val="0"/>
                <w:sz w:val="18"/>
                <w:szCs w:val="18"/>
                <w:lang w:val="en-US" w:eastAsia="zh-CN"/>
              </w:rPr>
              <w:t>1</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发射率：0.10-1.00可调</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光谱响应和反应时间：（8-14）um&amp;500ms</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重复性：±1%oor±1℃</w:t>
            </w:r>
          </w:p>
          <w:p>
            <w:pPr>
              <w:widowControl/>
              <w:jc w:val="both"/>
              <w:rPr>
                <w:rFonts w:hint="eastAsia" w:ascii="仿宋" w:hAnsi="仿宋" w:eastAsia="仿宋" w:cs="仿宋"/>
                <w:kern w:val="0"/>
                <w:sz w:val="24"/>
                <w:lang w:eastAsia="zh-CN"/>
              </w:rPr>
            </w:pPr>
            <w:r>
              <w:rPr>
                <w:rFonts w:hint="eastAsia" w:ascii="仿宋" w:hAnsi="仿宋" w:eastAsia="仿宋" w:cs="仿宋"/>
                <w:kern w:val="0"/>
                <w:sz w:val="18"/>
                <w:szCs w:val="18"/>
              </w:rPr>
              <w:t>数据保持显示功能：有平均值温差测量功能：</w:t>
            </w:r>
            <w:r>
              <w:rPr>
                <w:rFonts w:hint="eastAsia" w:ascii="仿宋" w:hAnsi="仿宋" w:eastAsia="仿宋" w:cs="仿宋"/>
                <w:kern w:val="0"/>
                <w:sz w:val="18"/>
                <w:szCs w:val="18"/>
                <w:lang w:val="en-US" w:eastAsia="zh-CN"/>
              </w:rPr>
              <w:t>有</w:t>
            </w:r>
            <w:r>
              <w:rPr>
                <w:rFonts w:hint="eastAsia" w:ascii="仿宋" w:hAnsi="仿宋" w:eastAsia="仿宋" w:cs="仿宋"/>
                <w:kern w:val="0"/>
                <w:sz w:val="18"/>
                <w:szCs w:val="18"/>
              </w:rPr>
              <w:t>更大更小值功能</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有高温，低温报警功能：有激光定位功能：</w:t>
            </w:r>
            <w:r>
              <w:rPr>
                <w:rFonts w:hint="eastAsia" w:ascii="仿宋" w:hAnsi="仿宋" w:eastAsia="仿宋" w:cs="仿宋"/>
                <w:kern w:val="0"/>
                <w:sz w:val="18"/>
                <w:szCs w:val="18"/>
                <w:lang w:val="en-US" w:eastAsia="zh-CN"/>
              </w:rPr>
              <w:t>有</w:t>
            </w:r>
            <w:r>
              <w:rPr>
                <w:rFonts w:hint="eastAsia" w:ascii="仿宋" w:hAnsi="仿宋" w:eastAsia="仿宋" w:cs="仿宋"/>
                <w:kern w:val="0"/>
                <w:sz w:val="18"/>
                <w:szCs w:val="18"/>
              </w:rPr>
              <w:t>自动关机功能：有电池9V电池</w:t>
            </w:r>
            <w:r>
              <w:rPr>
                <w:rFonts w:hint="eastAsia" w:ascii="仿宋" w:hAnsi="仿宋" w:eastAsia="仿宋" w:cs="仿宋"/>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12</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有毒气体探测仪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测量范围：氧气：0-30%VOL 一氧化碳：0-999PPM 硫化氢：0-500PPM可燃气体：0-100%LEL                         检测气体：氧气/硫化氢/一氧化碳</w:t>
            </w:r>
            <w:r>
              <w:rPr>
                <w:rFonts w:hint="eastAsia" w:ascii="仿宋" w:hAnsi="仿宋" w:eastAsia="仿宋" w:cs="仿宋"/>
                <w:kern w:val="0"/>
                <w:sz w:val="18"/>
                <w:szCs w:val="18"/>
                <w:lang w:val="en-US" w:eastAsia="zh-CN"/>
              </w:rPr>
              <w:t>/可燃气体</w:t>
            </w:r>
            <w:r>
              <w:rPr>
                <w:rFonts w:hint="eastAsia" w:ascii="仿宋" w:hAnsi="仿宋" w:eastAsia="仿宋" w:cs="仿宋"/>
                <w:kern w:val="0"/>
                <w:sz w:val="18"/>
                <w:szCs w:val="18"/>
              </w:rPr>
              <w:t>分</w:t>
            </w:r>
            <w:r>
              <w:rPr>
                <w:rFonts w:hint="eastAsia" w:ascii="仿宋" w:hAnsi="仿宋" w:eastAsia="仿宋" w:cs="仿宋"/>
                <w:kern w:val="0"/>
                <w:sz w:val="18"/>
                <w:szCs w:val="18"/>
                <w:lang w:val="en-US" w:eastAsia="zh-CN"/>
              </w:rPr>
              <w:t>变率</w:t>
            </w:r>
            <w:r>
              <w:rPr>
                <w:rFonts w:hint="eastAsia" w:ascii="仿宋" w:hAnsi="仿宋" w:eastAsia="仿宋" w:cs="仿宋"/>
                <w:kern w:val="0"/>
                <w:sz w:val="18"/>
                <w:szCs w:val="18"/>
              </w:rPr>
              <w:t>0.1%ppm</w:t>
            </w:r>
          </w:p>
          <w:p>
            <w:pPr>
              <w:widowControl/>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传感器原理：电化学原理，寿命两年</w:t>
            </w:r>
            <w:r>
              <w:rPr>
                <w:rFonts w:hint="eastAsia" w:ascii="仿宋" w:hAnsi="仿宋" w:eastAsia="仿宋" w:cs="仿宋"/>
                <w:kern w:val="0"/>
                <w:sz w:val="18"/>
                <w:szCs w:val="18"/>
                <w:lang w:eastAsia="zh-CN"/>
              </w:rPr>
              <w:t>；</w:t>
            </w:r>
          </w:p>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高低浓度报警：</w:t>
            </w:r>
            <w:r>
              <w:rPr>
                <w:rFonts w:hint="eastAsia" w:ascii="仿宋" w:hAnsi="仿宋" w:eastAsia="仿宋" w:cs="仿宋"/>
                <w:kern w:val="0"/>
                <w:sz w:val="18"/>
                <w:szCs w:val="18"/>
                <w:lang w:val="en-US" w:eastAsia="zh-CN"/>
              </w:rPr>
              <w:t>有</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报警值设定：有</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工作温度：-10℃-50℃</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背光显示：有</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电池工作时间：≥6小时无报警</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报警方式：声光震三重报警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13</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防爆静电电压表</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 xml:space="preserve">静电电位测量范围：±0.1KV-±199.9KV </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测量距离 5cm(±0.5cm)</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响应速度：≤1秒</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采样率：3次/秒</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 xml:space="preserve">精度误差：&lt;±10% </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测量精度：正负电压±0.1KV（100V）</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输出显示：LCD显示</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输入电源：6F22型电池</w:t>
            </w:r>
          </w:p>
          <w:p>
            <w:pPr>
              <w:widowControl/>
              <w:jc w:val="both"/>
              <w:rPr>
                <w:rFonts w:hint="eastAsia" w:ascii="仿宋" w:hAnsi="仿宋" w:eastAsia="仿宋" w:cs="仿宋"/>
                <w:kern w:val="0"/>
                <w:sz w:val="18"/>
                <w:szCs w:val="18"/>
              </w:rPr>
            </w:pPr>
            <w:r>
              <w:rPr>
                <w:rFonts w:hint="eastAsia" w:ascii="仿宋" w:hAnsi="仿宋" w:eastAsia="仿宋" w:cs="仿宋"/>
                <w:kern w:val="0"/>
                <w:sz w:val="18"/>
                <w:szCs w:val="18"/>
              </w:rPr>
              <w:t>配置清单：静电测试仪1台+便携皮包1个+说明书</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校证报告1份+9V电池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14</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防火头套</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120</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符合GA 869-2010《消防员灭火防护头套》的标准，提供国家消防装备质量监督检验中心检验报告和产品消防产品认证证书。</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灭火救援时头面部和颈部防护，具有阻燃、保暖、轻便、舒适性能。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1、面料性能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抗起球性能：3-4级</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甲醛含量：无</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2、整体性能</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接缝强力：992.1N；</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针距密度：编制明暗线每3cm14针； 质量141.4g；</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面料阻燃性能经向：续燃时间0s、损毁长度7mm；阻燃性能纬向：续燃时间0s，损毁长度8mm，热稳定性能尺寸变化率2.0%。水洗尺寸变化率直向1.9%，横向0.7%。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15</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抓狗器材</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为优质不锈钢材质，二节伸缩型，轻便易携带，经久耐用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16</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多功能手电筒</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59</w:t>
            </w:r>
          </w:p>
        </w:tc>
        <w:tc>
          <w:tcPr>
            <w:tcW w:w="4106" w:type="dxa"/>
            <w:vAlign w:val="center"/>
          </w:tcPr>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灯具防爆等级达到隔爆型最高防爆等级ExdⅡc T6，可在各种易燃易爆场所安全工作。灯具防护等级IP65，全密闭结构设计，防水防尘。外壳材质为高硬度台金，确保产品能经受强力冲击，工作中不慎跌落不影响其正常使用  灯具光源采用白光LED光源，光通量≥901m，可视距离≥5000米，光源使用使用寿命≥10万小时  电池使用高能无记忆锂电池，容量≥1．8Ah，使用寿命不小于1000次循环：灯具连续</w:t>
            </w:r>
          </w:p>
          <w:p>
            <w:pPr>
              <w:widowControl/>
              <w:adjustRightInd w:val="0"/>
              <w:snapToGrid w:val="0"/>
              <w:jc w:val="both"/>
              <w:rPr>
                <w:rFonts w:hint="eastAsia" w:ascii="仿宋" w:hAnsi="仿宋" w:eastAsia="仿宋" w:cs="仿宋"/>
                <w:kern w:val="0"/>
                <w:sz w:val="18"/>
                <w:szCs w:val="18"/>
              </w:rPr>
            </w:pPr>
            <w:r>
              <w:rPr>
                <w:rFonts w:hint="eastAsia" w:ascii="仿宋" w:hAnsi="仿宋" w:eastAsia="仿宋" w:cs="仿宋"/>
                <w:kern w:val="0"/>
                <w:sz w:val="18"/>
                <w:szCs w:val="18"/>
              </w:rPr>
              <w:t>工作时间≥3小时，照射距离≥100米；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17</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头灯</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37</w:t>
            </w:r>
          </w:p>
        </w:tc>
        <w:tc>
          <w:tcPr>
            <w:tcW w:w="4106" w:type="dxa"/>
            <w:vAlign w:val="center"/>
          </w:tcPr>
          <w:p>
            <w:pPr>
              <w:jc w:val="both"/>
              <w:rPr>
                <w:rFonts w:hint="eastAsia" w:ascii="仿宋" w:hAnsi="仿宋" w:eastAsia="仿宋" w:cs="仿宋"/>
                <w:kern w:val="0"/>
                <w:sz w:val="18"/>
                <w:szCs w:val="18"/>
              </w:rPr>
            </w:pPr>
            <w:r>
              <w:rPr>
                <w:rFonts w:hint="eastAsia" w:ascii="仿宋" w:hAnsi="仿宋" w:eastAsia="仿宋" w:cs="仿宋"/>
                <w:kern w:val="0"/>
                <w:sz w:val="18"/>
                <w:szCs w:val="18"/>
              </w:rPr>
              <w:t>1.灯具外壳采用轻质铝合金材质，轻巧便携；</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2、光源采用进口CREE最新LED，2米处最大强光照度≥1800LX，弱光照度≥700LX，2米处直径150mm光斑内强光平均照度不低于550lx，最低照度不低于400lx，弱光平均照度不低于300lx,最低照度不低于200lx。</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3.采用尾部大开关设计，可以在佩戴加厚手套等各种模式下进行开关操作，同时灯具尾部带有红色方位灯，起到警示和方位指示作用。</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4.灯具设计有4格LED蓝色电量显示装置，可实时呈现电量剩余情况及充电进行状态。</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5.灯具采用全新Type-c充电口设计，可以借用任何USB输出设备进行充电，方便快捷。</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6.灯具通过轻按开关可实现强光、弱光、爆闪的开启、关闭和切换，对现场进行照明、信号指示；</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7.全新定制电池（1.9Ah 锂离子电池）设计，小体积大容量，且电池装入灯具是无需区分安装方向；</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8.全新携带方式设计，灯具轻巧便携，可手持，同时可通过外接支架实现各种头盔的佩戴。</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9.灯具可选配的专业集中式充电箱。</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10.基本参数：额定电压：DC3.7V  额定容量：1.9Ah连续放电时间：480min（弱光）/240min（强光）、/300min（爆闪信号）充电时间：4h外壳防护：IP66/IP68重量：≤110g(含电池不含支架)，支架≤40g防爆等级：Ex ib IIC T4 Gb</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★11.提供国家消防装备质量监督检验中心出具的全性能委托检验报告.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18</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防蜂服</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w:t>
            </w:r>
          </w:p>
        </w:tc>
        <w:tc>
          <w:tcPr>
            <w:tcW w:w="4106" w:type="dxa"/>
            <w:vAlign w:val="center"/>
          </w:tcPr>
          <w:p>
            <w:pPr>
              <w:jc w:val="both"/>
              <w:rPr>
                <w:rFonts w:hint="eastAsia" w:ascii="仿宋" w:hAnsi="仿宋" w:eastAsia="仿宋" w:cs="仿宋"/>
                <w:kern w:val="0"/>
                <w:sz w:val="18"/>
                <w:szCs w:val="18"/>
              </w:rPr>
            </w:pPr>
            <w:r>
              <w:rPr>
                <w:rFonts w:hint="eastAsia" w:ascii="仿宋" w:hAnsi="仿宋" w:eastAsia="仿宋" w:cs="仿宋"/>
                <w:kern w:val="0"/>
                <w:sz w:val="18"/>
                <w:szCs w:val="18"/>
              </w:rPr>
              <w:t>用于防蜂类等昆虫侵蚀的专用防护，面罩为聚碳酸脂具有良好的防护性能。材料为用双面涂覆耐腐蚀的高强度锦丝绸布为基材，制成整体连身式结构，配以独特防蜂面具与橡胶手套及消防安全帽配套使用。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19</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消火栓流量测试仪</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4106" w:type="dxa"/>
            <w:vAlign w:val="center"/>
          </w:tcPr>
          <w:p>
            <w:pPr>
              <w:jc w:val="both"/>
              <w:rPr>
                <w:rFonts w:hint="eastAsia" w:ascii="仿宋" w:hAnsi="仿宋" w:eastAsia="仿宋" w:cs="仿宋"/>
                <w:kern w:val="0"/>
                <w:sz w:val="24"/>
              </w:rPr>
            </w:pPr>
            <w:r>
              <w:rPr>
                <w:rFonts w:hint="eastAsia" w:ascii="仿宋" w:hAnsi="仿宋" w:eastAsia="仿宋" w:cs="仿宋"/>
                <w:kern w:val="0"/>
                <w:sz w:val="18"/>
                <w:szCs w:val="18"/>
              </w:rPr>
              <w:t>采用电磁流量计，测量范围：DN10-DN2000，精度等级：±0.5%R，公称通径：DN10-2000，适用介质：污水，自来水等，工作压力≤6.3MPa.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20</w:t>
            </w:r>
          </w:p>
        </w:tc>
        <w:tc>
          <w:tcPr>
            <w:tcW w:w="14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铝制丝扣锁</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84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100</w:t>
            </w:r>
          </w:p>
        </w:tc>
        <w:tc>
          <w:tcPr>
            <w:tcW w:w="4106" w:type="dxa"/>
            <w:vAlign w:val="center"/>
          </w:tcPr>
          <w:p>
            <w:pPr>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★符合国标GA 494-2004中轻型安全钩的性能要求，并通过CE EN 362体系标准认证</w:t>
            </w:r>
            <w:r>
              <w:rPr>
                <w:rFonts w:hint="eastAsia" w:ascii="仿宋" w:hAnsi="仿宋" w:eastAsia="仿宋" w:cs="仿宋"/>
                <w:kern w:val="0"/>
                <w:sz w:val="18"/>
                <w:szCs w:val="18"/>
                <w:lang w:eastAsia="zh-CN"/>
              </w:rPr>
              <w:t>。</w:t>
            </w:r>
          </w:p>
          <w:p>
            <w:pPr>
              <w:jc w:val="both"/>
              <w:rPr>
                <w:rFonts w:hint="eastAsia" w:ascii="仿宋" w:hAnsi="仿宋" w:eastAsia="仿宋" w:cs="仿宋"/>
                <w:kern w:val="0"/>
                <w:sz w:val="18"/>
                <w:szCs w:val="18"/>
              </w:rPr>
            </w:pPr>
            <w:r>
              <w:rPr>
                <w:rFonts w:hint="eastAsia" w:ascii="仿宋" w:hAnsi="仿宋" w:eastAsia="仿宋" w:cs="仿宋"/>
                <w:kern w:val="0"/>
                <w:sz w:val="18"/>
                <w:szCs w:val="18"/>
              </w:rPr>
              <w:t>锁体为7075合金铝材质，Keylock设计防止使用时勾挂绳索或尖锐物，H型锁可使用意大利半扣下降，锁体尺寸：116*73mm，开门尺寸：23mm，重量：</w:t>
            </w:r>
            <w:r>
              <w:rPr>
                <w:rFonts w:hint="eastAsia" w:ascii="仿宋" w:hAnsi="仿宋" w:eastAsia="仿宋" w:cs="仿宋"/>
                <w:kern w:val="0"/>
                <w:sz w:val="18"/>
                <w:szCs w:val="18"/>
                <w:lang w:val="en-US" w:eastAsia="zh-CN"/>
              </w:rPr>
              <w:t>&lt;80</w:t>
            </w:r>
            <w:r>
              <w:rPr>
                <w:rFonts w:hint="eastAsia" w:ascii="仿宋" w:hAnsi="仿宋" w:eastAsia="仿宋" w:cs="仿宋"/>
                <w:kern w:val="0"/>
                <w:sz w:val="18"/>
                <w:szCs w:val="18"/>
              </w:rPr>
              <w:t>g。</w:t>
            </w:r>
          </w:p>
        </w:tc>
      </w:tr>
    </w:tbl>
    <w:p>
      <w:pPr>
        <w:spacing w:line="2" w:lineRule="atLeast"/>
        <w:rPr>
          <w:rFonts w:hint="eastAsia" w:ascii="仿宋_GB2312" w:hAnsi="Calibri" w:eastAsia="仿宋_GB2312"/>
          <w:b/>
          <w:color w:val="auto"/>
          <w:sz w:val="28"/>
          <w:szCs w:val="28"/>
        </w:rPr>
      </w:pPr>
    </w:p>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w:t>
      </w:r>
      <w:r>
        <w:rPr>
          <w:rFonts w:hint="eastAsia" w:ascii="仿宋_GB2312" w:hAnsi="Calibri" w:eastAsia="仿宋_GB2312"/>
          <w:b/>
          <w:color w:val="auto"/>
          <w:sz w:val="28"/>
          <w:szCs w:val="28"/>
          <w:u w:val="none"/>
        </w:rPr>
        <w:t>维护保修要求</w:t>
      </w:r>
    </w:p>
    <w:p>
      <w:pPr>
        <w:spacing w:line="48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所供应的器材应是20</w:t>
      </w:r>
      <w:r>
        <w:rPr>
          <w:rFonts w:hint="eastAsia" w:ascii="仿宋_GB2312" w:eastAsia="仿宋_GB2312"/>
          <w:color w:val="auto"/>
          <w:sz w:val="28"/>
          <w:szCs w:val="28"/>
          <w:u w:val="none"/>
          <w:lang w:val="en-US" w:eastAsia="zh-CN"/>
        </w:rPr>
        <w:t>20</w:t>
      </w:r>
      <w:r>
        <w:rPr>
          <w:rFonts w:hint="eastAsia" w:ascii="仿宋_GB2312" w:eastAsia="仿宋_GB2312"/>
          <w:color w:val="auto"/>
          <w:sz w:val="28"/>
          <w:szCs w:val="28"/>
          <w:u w:val="none"/>
        </w:rPr>
        <w:t>年生产的，器材经验收合格，质保期为两年及以上。</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必须开具增值税专用发票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除铁铤、抓狗器材和井盖钩可提供图片文件外，各单项产品样品各一件，产品须与响应文件所列产品完全一致，否则取消响应单位本项目响应资格。（未成交单位所提供样品在开标结束5个工作日内通知自行取回。成交单位所提供样品保留至产品到货后，经一致性验收合格后5个工作日内通知自行取回。）</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2.2.5</w:t>
      </w:r>
      <w:r>
        <w:rPr>
          <w:rFonts w:hint="eastAsia" w:ascii="仿宋" w:hAnsi="仿宋" w:eastAsia="仿宋"/>
          <w:color w:val="auto"/>
          <w:sz w:val="28"/>
          <w:szCs w:val="28"/>
        </w:rPr>
        <w:t>本项目</w:t>
      </w:r>
      <w:r>
        <w:rPr>
          <w:rFonts w:hint="eastAsia" w:ascii="仿宋" w:hAnsi="仿宋" w:eastAsia="仿宋"/>
          <w:color w:val="auto"/>
          <w:sz w:val="28"/>
          <w:szCs w:val="28"/>
          <w:lang w:val="en-US" w:eastAsia="zh-CN"/>
        </w:rPr>
        <w:t>不含税</w:t>
      </w:r>
      <w:r>
        <w:rPr>
          <w:rFonts w:hint="eastAsia" w:ascii="仿宋" w:hAnsi="仿宋" w:eastAsia="仿宋"/>
          <w:color w:val="auto"/>
          <w:sz w:val="28"/>
          <w:szCs w:val="28"/>
        </w:rPr>
        <w:t>最高限价为</w:t>
      </w:r>
      <w:r>
        <w:rPr>
          <w:rFonts w:hint="eastAsia" w:ascii="仿宋" w:hAnsi="仿宋" w:eastAsia="仿宋"/>
          <w:color w:val="auto"/>
          <w:sz w:val="28"/>
          <w:szCs w:val="28"/>
          <w:lang w:val="en-US" w:eastAsia="zh-CN"/>
        </w:rPr>
        <w:t>49.4万</w:t>
      </w:r>
      <w:r>
        <w:rPr>
          <w:rFonts w:hint="eastAsia" w:ascii="仿宋" w:hAnsi="仿宋" w:eastAsia="仿宋"/>
          <w:color w:val="auto"/>
          <w:sz w:val="28"/>
          <w:szCs w:val="28"/>
        </w:rPr>
        <w:t>元，报价超过最高限价，将取消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rPr>
          <w:rFonts w:hint="eastAsia" w:ascii="仿宋" w:hAnsi="仿宋" w:eastAsia="仿宋"/>
          <w:b/>
          <w:bCs/>
          <w:color w:val="auto"/>
          <w:sz w:val="28"/>
          <w:szCs w:val="28"/>
        </w:rPr>
      </w:pPr>
      <w:r>
        <w:rPr>
          <w:rFonts w:hint="eastAsia" w:ascii="仿宋_GB2312" w:eastAsia="仿宋_GB2312"/>
          <w:b/>
          <w:color w:val="auto"/>
          <w:sz w:val="28"/>
          <w:szCs w:val="28"/>
        </w:rPr>
        <w:t>三、</w:t>
      </w:r>
      <w:r>
        <w:rPr>
          <w:rFonts w:hint="eastAsia" w:ascii="仿宋" w:hAnsi="仿宋" w:eastAsia="仿宋"/>
          <w:b/>
          <w:bCs/>
          <w:color w:val="auto"/>
          <w:sz w:val="28"/>
          <w:szCs w:val="28"/>
          <w:lang w:val="en-US" w:eastAsia="zh-CN"/>
        </w:rPr>
        <w:t>评审办法（综合评审法）及成交标准</w:t>
      </w:r>
      <w:r>
        <w:rPr>
          <w:rFonts w:hint="eastAsia" w:ascii="仿宋" w:hAnsi="仿宋" w:eastAsia="仿宋"/>
          <w:b/>
          <w:bCs/>
          <w:color w:val="auto"/>
          <w:sz w:val="28"/>
          <w:szCs w:val="28"/>
        </w:rPr>
        <w:t>：</w:t>
      </w:r>
    </w:p>
    <w:p>
      <w:pPr>
        <w:pStyle w:val="30"/>
        <w:rPr>
          <w:rFonts w:hint="eastAsia" w:ascii="仿宋" w:hAnsi="仿宋" w:eastAsia="仿宋" w:cs="Times New Roman"/>
          <w:b/>
          <w:bCs/>
          <w:color w:val="auto"/>
          <w:kern w:val="2"/>
          <w:sz w:val="28"/>
          <w:szCs w:val="28"/>
          <w:lang w:val="en-US" w:eastAsia="zh-CN" w:bidi="ar-SA"/>
        </w:rPr>
      </w:pPr>
      <w:bookmarkStart w:id="0" w:name="_Toc152045599"/>
      <w:bookmarkStart w:id="1" w:name="_Toc152042376"/>
      <w:bookmarkStart w:id="2" w:name="_Toc29389"/>
      <w:bookmarkStart w:id="3" w:name="_Toc144974566"/>
      <w:r>
        <w:rPr>
          <w:rFonts w:hint="eastAsia" w:ascii="仿宋" w:hAnsi="仿宋" w:eastAsia="仿宋" w:cs="Times New Roman"/>
          <w:b/>
          <w:bCs/>
          <w:color w:val="auto"/>
          <w:kern w:val="2"/>
          <w:sz w:val="28"/>
          <w:szCs w:val="28"/>
          <w:lang w:val="en-US" w:eastAsia="zh-CN" w:bidi="ar-SA"/>
        </w:rPr>
        <w:t>3.1评审办法前附表</w:t>
      </w:r>
      <w:bookmarkEnd w:id="0"/>
      <w:bookmarkEnd w:id="1"/>
      <w:bookmarkEnd w:id="2"/>
      <w:bookmarkEnd w:id="3"/>
    </w:p>
    <w:tbl>
      <w:tblPr>
        <w:tblStyle w:val="16"/>
        <w:tblW w:w="9719"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6"/>
        <w:gridCol w:w="717"/>
        <w:gridCol w:w="543"/>
        <w:gridCol w:w="223"/>
        <w:gridCol w:w="1037"/>
        <w:gridCol w:w="180"/>
        <w:gridCol w:w="768"/>
        <w:gridCol w:w="5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60" w:lineRule="auto"/>
              <w:jc w:val="center"/>
              <w:rPr>
                <w:rFonts w:ascii="仿宋" w:hAnsi="仿宋" w:eastAsia="仿宋" w:cs="仿宋"/>
                <w:b/>
                <w:szCs w:val="21"/>
              </w:rPr>
            </w:pPr>
            <w:r>
              <w:rPr>
                <w:rFonts w:hint="eastAsia" w:ascii="仿宋" w:hAnsi="仿宋" w:eastAsia="仿宋" w:cs="仿宋"/>
                <w:b/>
                <w:szCs w:val="21"/>
              </w:rPr>
              <w:t>条款号</w:t>
            </w:r>
          </w:p>
        </w:tc>
        <w:tc>
          <w:tcPr>
            <w:tcW w:w="2520" w:type="dxa"/>
            <w:gridSpan w:val="4"/>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评审因素</w:t>
            </w:r>
          </w:p>
        </w:tc>
        <w:tc>
          <w:tcPr>
            <w:tcW w:w="6299"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3.1.1</w:t>
            </w:r>
          </w:p>
        </w:tc>
        <w:tc>
          <w:tcPr>
            <w:tcW w:w="723" w:type="dxa"/>
            <w:gridSpan w:val="2"/>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形式评审标准</w:t>
            </w: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 xml:space="preserve">人名称 </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val="en-US" w:eastAsia="zh-CN"/>
              </w:rPr>
              <w:t>报价</w:t>
            </w:r>
            <w:r>
              <w:rPr>
                <w:rFonts w:hint="eastAsia" w:ascii="仿宋" w:hAnsi="仿宋" w:eastAsia="仿宋" w:cs="仿宋"/>
                <w:szCs w:val="21"/>
              </w:rPr>
              <w:t>函签字盖章</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签字、盖章符合要求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文件格式</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文件字迹清晰可辨。</w:t>
            </w:r>
          </w:p>
          <w:p>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报价</w:t>
            </w:r>
            <w:r>
              <w:rPr>
                <w:rFonts w:hint="eastAsia" w:ascii="仿宋" w:hAnsi="仿宋" w:eastAsia="仿宋" w:cs="仿宋"/>
                <w:szCs w:val="21"/>
              </w:rPr>
              <w:t>函的所有数据均符合</w:t>
            </w:r>
            <w:r>
              <w:rPr>
                <w:rFonts w:hint="eastAsia" w:ascii="仿宋" w:hAnsi="仿宋" w:eastAsia="仿宋" w:cs="仿宋"/>
                <w:szCs w:val="21"/>
                <w:lang w:eastAsia="zh-CN"/>
              </w:rPr>
              <w:t>比选</w:t>
            </w:r>
            <w:r>
              <w:rPr>
                <w:rFonts w:hint="eastAsia" w:ascii="仿宋" w:hAnsi="仿宋" w:eastAsia="仿宋" w:cs="仿宋"/>
                <w:szCs w:val="21"/>
              </w:rPr>
              <w:t>文件的规定；</w:t>
            </w:r>
          </w:p>
          <w:p>
            <w:pPr>
              <w:spacing w:line="360" w:lineRule="auto"/>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响应</w:t>
            </w:r>
            <w:r>
              <w:rPr>
                <w:rFonts w:hint="eastAsia" w:ascii="仿宋" w:hAnsi="仿宋" w:eastAsia="仿宋" w:cs="仿宋"/>
                <w:szCs w:val="21"/>
              </w:rPr>
              <w:t>文件附表齐全完整，内容均按规定填写；</w:t>
            </w:r>
          </w:p>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kern w:val="0"/>
                <w:szCs w:val="21"/>
                <w:lang w:eastAsia="zh-CN"/>
              </w:rPr>
              <w:t>响应</w:t>
            </w:r>
            <w:r>
              <w:rPr>
                <w:rFonts w:hint="eastAsia" w:ascii="仿宋" w:hAnsi="仿宋" w:eastAsia="仿宋" w:cs="仿宋"/>
                <w:kern w:val="0"/>
                <w:szCs w:val="21"/>
              </w:rPr>
              <w:t>文件正本和副本数量（含电子版本）符合</w:t>
            </w:r>
            <w:r>
              <w:rPr>
                <w:rFonts w:hint="eastAsia" w:ascii="仿宋" w:hAnsi="仿宋" w:eastAsia="仿宋" w:cs="仿宋"/>
                <w:kern w:val="0"/>
                <w:szCs w:val="21"/>
                <w:lang w:eastAsia="zh-CN"/>
              </w:rPr>
              <w:t>比选</w:t>
            </w:r>
            <w:r>
              <w:rPr>
                <w:rFonts w:hint="eastAsia" w:ascii="仿宋" w:hAnsi="仿宋" w:eastAsia="仿宋" w:cs="仿宋"/>
                <w:kern w:val="0"/>
                <w:szCs w:val="21"/>
              </w:rPr>
              <w:t>文件要求；</w:t>
            </w:r>
          </w:p>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4.按规定提供了相关证件、资料的复印件或原件，且清晰可</w:t>
            </w:r>
            <w:r>
              <w:rPr>
                <w:rFonts w:hint="eastAsia" w:ascii="仿宋" w:hAnsi="仿宋" w:eastAsia="仿宋" w:cs="仿宋"/>
                <w:kern w:val="0"/>
              </w:rPr>
              <w:t>辨；</w:t>
            </w:r>
          </w:p>
          <w:p>
            <w:pPr>
              <w:spacing w:line="360" w:lineRule="auto"/>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响应</w:t>
            </w:r>
            <w:r>
              <w:rPr>
                <w:rFonts w:hint="eastAsia" w:ascii="仿宋" w:hAnsi="仿宋" w:eastAsia="仿宋" w:cs="仿宋"/>
                <w:szCs w:val="21"/>
              </w:rPr>
              <w:t>文件的编制符合</w:t>
            </w:r>
            <w:r>
              <w:rPr>
                <w:rFonts w:hint="eastAsia" w:ascii="仿宋" w:hAnsi="仿宋" w:eastAsia="仿宋" w:cs="仿宋"/>
                <w:szCs w:val="21"/>
                <w:lang w:eastAsia="zh-CN"/>
              </w:rPr>
              <w:t>比选</w:t>
            </w:r>
            <w:r>
              <w:rPr>
                <w:rFonts w:hint="eastAsia" w:ascii="仿宋" w:hAnsi="仿宋" w:eastAsia="仿宋" w:cs="仿宋"/>
                <w:szCs w:val="21"/>
              </w:rPr>
              <w:t>文件的规定。</w:t>
            </w:r>
          </w:p>
          <w:p>
            <w:pPr>
              <w:spacing w:line="360" w:lineRule="auto"/>
              <w:rPr>
                <w:rFonts w:ascii="仿宋" w:hAnsi="仿宋" w:eastAsia="仿宋" w:cs="仿宋"/>
                <w:szCs w:val="21"/>
              </w:rPr>
            </w:pPr>
            <w:r>
              <w:rPr>
                <w:rFonts w:hint="eastAsia" w:ascii="仿宋" w:hAnsi="仿宋" w:eastAsia="仿宋" w:cs="仿宋"/>
                <w:szCs w:val="21"/>
              </w:rPr>
              <w:t>6.符合</w:t>
            </w:r>
            <w:r>
              <w:rPr>
                <w:rFonts w:hint="eastAsia" w:ascii="仿宋" w:hAnsi="仿宋" w:eastAsia="仿宋" w:cs="仿宋"/>
                <w:szCs w:val="21"/>
                <w:lang w:eastAsia="zh-CN"/>
              </w:rPr>
              <w:t>比选</w:t>
            </w:r>
            <w:r>
              <w:rPr>
                <w:rFonts w:hint="eastAsia" w:ascii="仿宋" w:hAnsi="仿宋" w:eastAsia="仿宋" w:cs="仿宋"/>
                <w:szCs w:val="21"/>
              </w:rPr>
              <w:t>文件规定的其他格式要求。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报价</w:t>
            </w:r>
          </w:p>
        </w:tc>
        <w:tc>
          <w:tcPr>
            <w:tcW w:w="6299" w:type="dxa"/>
            <w:gridSpan w:val="3"/>
            <w:vAlign w:val="center"/>
          </w:tcPr>
          <w:p>
            <w:pPr>
              <w:spacing w:line="360" w:lineRule="auto"/>
              <w:rPr>
                <w:rFonts w:ascii="仿宋" w:hAnsi="仿宋" w:eastAsia="仿宋" w:cs="仿宋"/>
                <w:b/>
                <w:szCs w:val="21"/>
              </w:rPr>
            </w:pPr>
            <w:r>
              <w:rPr>
                <w:rFonts w:hint="eastAsia" w:ascii="仿宋" w:hAnsi="仿宋" w:eastAsia="仿宋" w:cs="仿宋"/>
                <w:b/>
                <w:szCs w:val="21"/>
                <w:lang w:val="en-US" w:eastAsia="zh-CN"/>
              </w:rPr>
              <w:t>报价</w:t>
            </w:r>
            <w:r>
              <w:rPr>
                <w:rFonts w:hint="eastAsia" w:ascii="仿宋" w:hAnsi="仿宋" w:eastAsia="仿宋" w:cs="仿宋"/>
                <w:b/>
                <w:szCs w:val="21"/>
              </w:rPr>
              <w:t>函的报价（大、小写一致），</w:t>
            </w:r>
            <w:r>
              <w:rPr>
                <w:rFonts w:hint="eastAsia" w:ascii="仿宋" w:hAnsi="仿宋" w:eastAsia="仿宋" w:cs="仿宋"/>
                <w:b/>
                <w:szCs w:val="21"/>
                <w:lang w:eastAsia="zh-CN"/>
              </w:rPr>
              <w:t>响应</w:t>
            </w:r>
            <w:r>
              <w:rPr>
                <w:rFonts w:hint="eastAsia" w:ascii="仿宋" w:hAnsi="仿宋" w:eastAsia="仿宋" w:cs="仿宋"/>
                <w:b/>
                <w:szCs w:val="21"/>
              </w:rPr>
              <w:t>总价符合</w:t>
            </w:r>
            <w:r>
              <w:rPr>
                <w:rFonts w:hint="eastAsia" w:ascii="仿宋" w:hAnsi="仿宋" w:eastAsia="仿宋" w:cs="仿宋"/>
                <w:b/>
                <w:szCs w:val="21"/>
                <w:lang w:eastAsia="zh-CN"/>
              </w:rPr>
              <w:t>比选</w:t>
            </w:r>
            <w:r>
              <w:rPr>
                <w:rFonts w:hint="eastAsia" w:ascii="仿宋" w:hAnsi="仿宋" w:eastAsia="仿宋" w:cs="仿宋"/>
                <w:b/>
                <w:szCs w:val="21"/>
              </w:rPr>
              <w:t>文件关于限价的规定，否则作废标处理。</w:t>
            </w:r>
            <w:r>
              <w:rPr>
                <w:rFonts w:hint="eastAsia" w:ascii="仿宋" w:hAnsi="仿宋" w:eastAsia="仿宋" w:cs="仿宋"/>
                <w:b/>
                <w:szCs w:val="21"/>
                <w:lang w:val="en-US" w:eastAsia="zh-CN"/>
              </w:rPr>
              <w:t>报价</w:t>
            </w:r>
            <w:r>
              <w:rPr>
                <w:rFonts w:hint="eastAsia" w:ascii="仿宋" w:hAnsi="仿宋" w:eastAsia="仿宋" w:cs="仿宋"/>
                <w:b/>
                <w:szCs w:val="21"/>
              </w:rPr>
              <w:t>函报价与开标一览表中</w:t>
            </w:r>
            <w:r>
              <w:rPr>
                <w:rFonts w:hint="eastAsia" w:ascii="仿宋" w:hAnsi="仿宋" w:eastAsia="仿宋" w:cs="仿宋"/>
                <w:b/>
                <w:szCs w:val="21"/>
                <w:lang w:eastAsia="zh-CN"/>
              </w:rPr>
              <w:t>响应</w:t>
            </w:r>
            <w:r>
              <w:rPr>
                <w:rFonts w:hint="eastAsia" w:ascii="仿宋" w:hAnsi="仿宋" w:eastAsia="仿宋" w:cs="仿宋"/>
                <w:b/>
                <w:szCs w:val="21"/>
              </w:rPr>
              <w:t>总价一致，否则作废标处理。在</w:t>
            </w:r>
            <w:r>
              <w:rPr>
                <w:rFonts w:hint="eastAsia" w:ascii="仿宋" w:hAnsi="仿宋" w:eastAsia="仿宋" w:cs="仿宋"/>
                <w:b/>
                <w:szCs w:val="21"/>
                <w:lang w:eastAsia="zh-CN"/>
              </w:rPr>
              <w:t>比选</w:t>
            </w:r>
            <w:r>
              <w:rPr>
                <w:rFonts w:hint="eastAsia" w:ascii="仿宋" w:hAnsi="仿宋" w:eastAsia="仿宋" w:cs="仿宋"/>
                <w:b/>
                <w:szCs w:val="21"/>
              </w:rPr>
              <w:t>文件没有规定的情况下，不得提交选择性报价，否则作废标处理。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文件的签署</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rPr>
              <w:t>委托代理人</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人法定代表人的委托代理人有法定代表人签署的授权委托书，且其授权委托书符合</w:t>
            </w:r>
            <w:r>
              <w:rPr>
                <w:rFonts w:hint="eastAsia" w:ascii="仿宋" w:hAnsi="仿宋" w:eastAsia="仿宋" w:cs="仿宋"/>
                <w:szCs w:val="21"/>
                <w:lang w:eastAsia="zh-CN"/>
              </w:rPr>
              <w:t>比选</w:t>
            </w:r>
            <w:r>
              <w:rPr>
                <w:rFonts w:hint="eastAsia" w:ascii="仿宋" w:hAnsi="仿宋" w:eastAsia="仿宋" w:cs="仿宋"/>
                <w:szCs w:val="21"/>
              </w:rPr>
              <w:t>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89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3.1.2</w:t>
            </w:r>
          </w:p>
        </w:tc>
        <w:tc>
          <w:tcPr>
            <w:tcW w:w="723" w:type="dxa"/>
            <w:gridSpan w:val="2"/>
            <w:vMerge w:val="restart"/>
            <w:vAlign w:val="center"/>
          </w:tcPr>
          <w:p>
            <w:pPr>
              <w:autoSpaceDE w:val="0"/>
              <w:autoSpaceDN w:val="0"/>
              <w:adjustRightInd w:val="0"/>
              <w:spacing w:line="360" w:lineRule="auto"/>
              <w:jc w:val="left"/>
              <w:rPr>
                <w:rFonts w:ascii="仿宋" w:hAnsi="仿宋" w:eastAsia="仿宋" w:cs="仿宋"/>
                <w:szCs w:val="21"/>
              </w:rPr>
            </w:pPr>
            <w:r>
              <w:rPr>
                <w:rFonts w:hint="eastAsia" w:ascii="仿宋" w:hAnsi="仿宋" w:eastAsia="仿宋" w:cs="仿宋"/>
                <w:szCs w:val="21"/>
              </w:rPr>
              <w:t>资格评审标准</w:t>
            </w:r>
          </w:p>
        </w:tc>
        <w:tc>
          <w:tcPr>
            <w:tcW w:w="543"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必要合格条件</w:t>
            </w: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营业执照</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资质等级</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信誉要求</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财务要求</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543" w:type="dxa"/>
            <w:vMerge w:val="continue"/>
            <w:vAlign w:val="center"/>
          </w:tcPr>
          <w:p>
            <w:pPr>
              <w:spacing w:line="360" w:lineRule="auto"/>
              <w:jc w:val="center"/>
              <w:rPr>
                <w:rFonts w:ascii="仿宋" w:hAnsi="仿宋" w:eastAsia="仿宋" w:cs="仿宋"/>
                <w:szCs w:val="21"/>
              </w:rPr>
            </w:pPr>
          </w:p>
        </w:tc>
        <w:tc>
          <w:tcPr>
            <w:tcW w:w="1260" w:type="dxa"/>
            <w:gridSpan w:val="2"/>
            <w:tcBorders>
              <w:top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其它要求</w:t>
            </w:r>
          </w:p>
        </w:tc>
        <w:tc>
          <w:tcPr>
            <w:tcW w:w="6299" w:type="dxa"/>
            <w:gridSpan w:val="3"/>
            <w:tcBorders>
              <w:top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文件的其它规定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17"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条款号</w:t>
            </w:r>
          </w:p>
        </w:tc>
        <w:tc>
          <w:tcPr>
            <w:tcW w:w="1803"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评审因素</w:t>
            </w:r>
          </w:p>
        </w:tc>
        <w:tc>
          <w:tcPr>
            <w:tcW w:w="6299" w:type="dxa"/>
            <w:gridSpan w:val="3"/>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3.1.3</w:t>
            </w:r>
          </w:p>
        </w:tc>
        <w:tc>
          <w:tcPr>
            <w:tcW w:w="723" w:type="dxa"/>
            <w:gridSpan w:val="2"/>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响应性评审标准</w:t>
            </w: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内容</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rPr>
              <w:t>工  期</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kern w:val="0"/>
                <w:szCs w:val="21"/>
              </w:rPr>
              <w:t>交货地点</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rPr>
              <w:t>伴随服务内容</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kern w:val="0"/>
                <w:szCs w:val="21"/>
              </w:rPr>
              <w:t>质保期</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有效期</w:t>
            </w:r>
          </w:p>
        </w:tc>
        <w:tc>
          <w:tcPr>
            <w:tcW w:w="6299"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符合</w:t>
            </w:r>
            <w:r>
              <w:rPr>
                <w:rFonts w:hint="eastAsia" w:ascii="仿宋" w:hAnsi="仿宋" w:eastAsia="仿宋" w:cs="仿宋"/>
                <w:szCs w:val="21"/>
                <w:lang w:eastAsia="zh-CN"/>
              </w:rPr>
              <w:t>比选</w:t>
            </w:r>
            <w:r>
              <w:rPr>
                <w:rFonts w:hint="eastAsia" w:ascii="仿宋" w:hAnsi="仿宋" w:eastAsia="仿宋" w:cs="仿宋"/>
                <w:szCs w:val="21"/>
              </w:rPr>
              <w:t>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权利义务</w:t>
            </w:r>
          </w:p>
        </w:tc>
        <w:tc>
          <w:tcPr>
            <w:tcW w:w="6299" w:type="dxa"/>
            <w:gridSpan w:val="3"/>
            <w:vAlign w:val="center"/>
          </w:tcPr>
          <w:p>
            <w:pPr>
              <w:snapToGrid w:val="0"/>
              <w:rPr>
                <w:rFonts w:ascii="仿宋" w:hAnsi="仿宋" w:eastAsia="仿宋" w:cs="仿宋"/>
                <w:szCs w:val="21"/>
              </w:rPr>
            </w:pPr>
            <w:r>
              <w:rPr>
                <w:rFonts w:hint="eastAsia" w:ascii="仿宋" w:hAnsi="仿宋" w:eastAsia="仿宋" w:cs="仿宋"/>
                <w:kern w:val="0"/>
              </w:rPr>
              <w:t>符合</w:t>
            </w:r>
            <w:r>
              <w:rPr>
                <w:rFonts w:hint="eastAsia" w:ascii="仿宋" w:hAnsi="仿宋" w:eastAsia="仿宋" w:cs="仿宋"/>
                <w:kern w:val="0"/>
                <w:lang w:eastAsia="zh-CN"/>
              </w:rPr>
              <w:t>比选</w:t>
            </w:r>
            <w:r>
              <w:rPr>
                <w:rFonts w:hint="eastAsia" w:ascii="仿宋" w:hAnsi="仿宋" w:eastAsia="仿宋" w:cs="仿宋"/>
                <w:kern w:val="0"/>
              </w:rPr>
              <w:t>文件规定，</w:t>
            </w:r>
            <w:r>
              <w:rPr>
                <w:rFonts w:hint="eastAsia" w:ascii="仿宋" w:hAnsi="仿宋" w:eastAsia="仿宋" w:cs="仿宋"/>
                <w:kern w:val="0"/>
                <w:lang w:eastAsia="zh-CN"/>
              </w:rPr>
              <w:t>响应</w:t>
            </w:r>
            <w:r>
              <w:rPr>
                <w:rFonts w:hint="eastAsia" w:ascii="仿宋" w:hAnsi="仿宋" w:eastAsia="仿宋" w:cs="仿宋"/>
                <w:kern w:val="0"/>
              </w:rPr>
              <w:t>文件不应附有</w:t>
            </w:r>
            <w:r>
              <w:rPr>
                <w:rFonts w:hint="eastAsia" w:ascii="仿宋" w:hAnsi="仿宋" w:eastAsia="仿宋" w:cs="仿宋"/>
                <w:kern w:val="0"/>
                <w:lang w:eastAsia="zh-CN"/>
              </w:rPr>
              <w:t>比选</w:t>
            </w:r>
            <w:r>
              <w:rPr>
                <w:rFonts w:hint="eastAsia" w:ascii="仿宋" w:hAnsi="仿宋" w:eastAsia="仿宋" w:cs="仿宋"/>
                <w:kern w:val="0"/>
              </w:rPr>
              <w:t>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adjustRightInd w:val="0"/>
              <w:snapToGrid w:val="0"/>
              <w:spacing w:before="62" w:beforeLines="20" w:line="300" w:lineRule="auto"/>
              <w:jc w:val="center"/>
              <w:rPr>
                <w:rFonts w:ascii="仿宋" w:hAnsi="仿宋" w:eastAsia="仿宋" w:cs="仿宋"/>
                <w:kern w:val="0"/>
                <w:szCs w:val="21"/>
              </w:rPr>
            </w:pPr>
            <w:r>
              <w:rPr>
                <w:rFonts w:hint="eastAsia" w:ascii="仿宋" w:hAnsi="仿宋" w:eastAsia="仿宋" w:cs="仿宋"/>
                <w:kern w:val="0"/>
                <w:szCs w:val="21"/>
                <w:lang w:eastAsia="zh-CN"/>
              </w:rPr>
              <w:t>响应</w:t>
            </w:r>
            <w:r>
              <w:rPr>
                <w:rFonts w:hint="eastAsia" w:ascii="仿宋" w:hAnsi="仿宋" w:eastAsia="仿宋" w:cs="仿宋"/>
                <w:kern w:val="0"/>
                <w:szCs w:val="21"/>
              </w:rPr>
              <w:t>报价</w:t>
            </w:r>
          </w:p>
        </w:tc>
        <w:tc>
          <w:tcPr>
            <w:tcW w:w="6299" w:type="dxa"/>
            <w:gridSpan w:val="3"/>
            <w:vAlign w:val="center"/>
          </w:tcPr>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符合</w:t>
            </w:r>
            <w:r>
              <w:rPr>
                <w:rFonts w:hint="eastAsia" w:ascii="仿宋" w:hAnsi="仿宋" w:eastAsia="仿宋" w:cs="仿宋"/>
                <w:szCs w:val="21"/>
                <w:lang w:eastAsia="zh-CN"/>
              </w:rPr>
              <w:t>比选</w:t>
            </w:r>
            <w:r>
              <w:rPr>
                <w:rFonts w:hint="eastAsia" w:ascii="仿宋" w:hAnsi="仿宋" w:eastAsia="仿宋" w:cs="仿宋"/>
                <w:szCs w:val="21"/>
              </w:rPr>
              <w:t>文件给出的技术标准和要求</w:t>
            </w:r>
            <w:r>
              <w:rPr>
                <w:rFonts w:hint="eastAsia" w:ascii="仿宋" w:hAnsi="仿宋" w:eastAsia="仿宋" w:cs="仿宋"/>
                <w:kern w:val="0"/>
                <w:szCs w:val="21"/>
              </w:rPr>
              <w:t>以及数量，且</w:t>
            </w:r>
            <w:r>
              <w:rPr>
                <w:rFonts w:hint="eastAsia" w:ascii="仿宋" w:hAnsi="仿宋" w:eastAsia="仿宋" w:cs="仿宋"/>
                <w:kern w:val="0"/>
                <w:szCs w:val="21"/>
                <w:lang w:eastAsia="zh-CN"/>
              </w:rPr>
              <w:t>响应</w:t>
            </w:r>
            <w:r>
              <w:rPr>
                <w:rFonts w:hint="eastAsia" w:ascii="仿宋" w:hAnsi="仿宋" w:eastAsia="仿宋" w:cs="仿宋"/>
                <w:kern w:val="0"/>
                <w:szCs w:val="21"/>
              </w:rPr>
              <w:t>报价不得高于</w:t>
            </w:r>
            <w:r>
              <w:rPr>
                <w:rFonts w:hint="eastAsia" w:ascii="仿宋" w:hAnsi="仿宋" w:eastAsia="仿宋" w:cs="仿宋"/>
                <w:kern w:val="0"/>
                <w:szCs w:val="21"/>
                <w:lang w:eastAsia="zh-CN"/>
              </w:rPr>
              <w:t>比选</w:t>
            </w:r>
            <w:r>
              <w:rPr>
                <w:rFonts w:hint="eastAsia" w:ascii="仿宋" w:hAnsi="仿宋" w:eastAsia="仿宋" w:cs="仿宋"/>
                <w:kern w:val="0"/>
                <w:szCs w:val="21"/>
              </w:rPr>
              <w:t>人公布的最高限价。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adjustRightInd w:val="0"/>
              <w:snapToGrid w:val="0"/>
              <w:spacing w:before="62" w:beforeLines="20" w:line="300" w:lineRule="auto"/>
              <w:jc w:val="center"/>
              <w:rPr>
                <w:rFonts w:ascii="仿宋" w:hAnsi="仿宋" w:eastAsia="仿宋" w:cs="仿宋"/>
                <w:kern w:val="0"/>
                <w:szCs w:val="21"/>
              </w:rPr>
            </w:pPr>
            <w:r>
              <w:rPr>
                <w:rFonts w:hint="eastAsia" w:ascii="仿宋" w:hAnsi="仿宋" w:eastAsia="仿宋" w:cs="仿宋"/>
                <w:kern w:val="0"/>
                <w:szCs w:val="21"/>
              </w:rPr>
              <w:t>商务应答及技术应答</w:t>
            </w:r>
          </w:p>
        </w:tc>
        <w:tc>
          <w:tcPr>
            <w:tcW w:w="6299" w:type="dxa"/>
            <w:gridSpan w:val="3"/>
            <w:vAlign w:val="center"/>
          </w:tcPr>
          <w:p>
            <w:pPr>
              <w:adjustRightInd w:val="0"/>
              <w:snapToGrid w:val="0"/>
              <w:spacing w:before="62" w:beforeLines="20" w:line="300" w:lineRule="auto"/>
              <w:rPr>
                <w:rFonts w:ascii="仿宋" w:hAnsi="仿宋" w:eastAsia="仿宋" w:cs="仿宋"/>
                <w:szCs w:val="21"/>
              </w:rPr>
            </w:pPr>
            <w:r>
              <w:rPr>
                <w:rFonts w:hint="eastAsia" w:ascii="仿宋" w:hAnsi="仿宋" w:eastAsia="仿宋" w:cs="仿宋"/>
                <w:szCs w:val="21"/>
              </w:rPr>
              <w:t>满足</w:t>
            </w:r>
            <w:r>
              <w:rPr>
                <w:rFonts w:hint="eastAsia" w:ascii="仿宋" w:hAnsi="仿宋" w:eastAsia="仿宋" w:cs="仿宋"/>
                <w:szCs w:val="21"/>
                <w:lang w:eastAsia="zh-CN"/>
              </w:rPr>
              <w:t>比选</w:t>
            </w:r>
            <w:r>
              <w:rPr>
                <w:rFonts w:hint="eastAsia" w:ascii="仿宋" w:hAnsi="仿宋" w:eastAsia="仿宋" w:cs="仿宋"/>
                <w:szCs w:val="21"/>
              </w:rPr>
              <w:t>文件“技术标准与要求”中的“技术要求”</w:t>
            </w:r>
            <w:r>
              <w:rPr>
                <w:rFonts w:hint="eastAsia" w:ascii="仿宋" w:hAnsi="仿宋" w:eastAsia="仿宋" w:cs="仿宋"/>
                <w:b/>
                <w:szCs w:val="21"/>
                <w:u w:val="single"/>
              </w:rPr>
              <w:t>否则将</w:t>
            </w:r>
            <w:r>
              <w:rPr>
                <w:rFonts w:hint="eastAsia" w:ascii="仿宋" w:hAnsi="仿宋" w:eastAsia="仿宋" w:cs="仿宋"/>
                <w:szCs w:val="21"/>
              </w:rPr>
              <w:t>否决其</w:t>
            </w:r>
            <w:r>
              <w:rPr>
                <w:rFonts w:hint="eastAsia" w:ascii="仿宋" w:hAnsi="仿宋" w:eastAsia="仿宋" w:cs="仿宋"/>
                <w:szCs w:val="21"/>
                <w:lang w:eastAsia="zh-CN"/>
              </w:rPr>
              <w:t>响应</w:t>
            </w: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 w:type="dxa"/>
            <w:vMerge w:val="continue"/>
            <w:vAlign w:val="center"/>
          </w:tcPr>
          <w:p>
            <w:pPr>
              <w:spacing w:line="360" w:lineRule="auto"/>
              <w:jc w:val="center"/>
              <w:rPr>
                <w:rFonts w:ascii="仿宋" w:hAnsi="仿宋" w:eastAsia="仿宋" w:cs="仿宋"/>
                <w:szCs w:val="21"/>
              </w:rPr>
            </w:pPr>
          </w:p>
        </w:tc>
        <w:tc>
          <w:tcPr>
            <w:tcW w:w="723" w:type="dxa"/>
            <w:gridSpan w:val="2"/>
            <w:vMerge w:val="continue"/>
            <w:vAlign w:val="center"/>
          </w:tcPr>
          <w:p>
            <w:pPr>
              <w:spacing w:line="360" w:lineRule="auto"/>
              <w:jc w:val="center"/>
              <w:rPr>
                <w:rFonts w:ascii="仿宋" w:hAnsi="仿宋" w:eastAsia="仿宋" w:cs="仿宋"/>
                <w:szCs w:val="21"/>
              </w:rPr>
            </w:pPr>
          </w:p>
        </w:tc>
        <w:tc>
          <w:tcPr>
            <w:tcW w:w="1803" w:type="dxa"/>
            <w:gridSpan w:val="3"/>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实质性要求</w:t>
            </w:r>
          </w:p>
        </w:tc>
        <w:tc>
          <w:tcPr>
            <w:tcW w:w="6299" w:type="dxa"/>
            <w:gridSpan w:val="3"/>
            <w:vAlign w:val="center"/>
          </w:tcPr>
          <w:p>
            <w:pPr>
              <w:spacing w:before="156" w:beforeLines="50"/>
              <w:rPr>
                <w:rFonts w:ascii="仿宋" w:hAnsi="仿宋" w:eastAsia="仿宋" w:cs="仿宋"/>
                <w:kern w:val="0"/>
              </w:rPr>
            </w:pPr>
            <w:r>
              <w:rPr>
                <w:rFonts w:hint="eastAsia" w:ascii="仿宋" w:hAnsi="仿宋" w:eastAsia="仿宋" w:cs="仿宋"/>
                <w:kern w:val="0"/>
              </w:rPr>
              <w:t>符合</w:t>
            </w:r>
            <w:r>
              <w:rPr>
                <w:rFonts w:hint="eastAsia" w:ascii="仿宋" w:hAnsi="仿宋" w:eastAsia="仿宋" w:cs="仿宋"/>
                <w:kern w:val="0"/>
                <w:lang w:eastAsia="zh-CN"/>
              </w:rPr>
              <w:t>比选</w:t>
            </w:r>
            <w:r>
              <w:rPr>
                <w:rFonts w:hint="eastAsia" w:ascii="仿宋" w:hAnsi="仿宋" w:eastAsia="仿宋" w:cs="仿宋"/>
                <w:kern w:val="0"/>
              </w:rPr>
              <w:t>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88" w:lineRule="exact"/>
              <w:ind w:firstLine="211" w:firstLineChars="100"/>
              <w:jc w:val="center"/>
              <w:rPr>
                <w:rFonts w:ascii="仿宋" w:hAnsi="仿宋" w:eastAsia="仿宋" w:cs="仿宋"/>
                <w:b/>
                <w:kern w:val="0"/>
              </w:rPr>
            </w:pPr>
            <w:r>
              <w:rPr>
                <w:rFonts w:hint="eastAsia" w:ascii="仿宋" w:hAnsi="仿宋" w:eastAsia="仿宋" w:cs="仿宋"/>
                <w:b/>
                <w:kern w:val="0"/>
              </w:rPr>
              <w:t>条款号</w:t>
            </w:r>
          </w:p>
        </w:tc>
        <w:tc>
          <w:tcPr>
            <w:tcW w:w="2520" w:type="dxa"/>
            <w:gridSpan w:val="4"/>
            <w:vAlign w:val="center"/>
          </w:tcPr>
          <w:p>
            <w:pPr>
              <w:tabs>
                <w:tab w:val="left" w:pos="1875"/>
              </w:tabs>
              <w:spacing w:line="388" w:lineRule="exact"/>
              <w:jc w:val="center"/>
              <w:rPr>
                <w:rFonts w:ascii="仿宋" w:hAnsi="仿宋" w:eastAsia="仿宋" w:cs="仿宋"/>
                <w:b/>
                <w:kern w:val="0"/>
              </w:rPr>
            </w:pPr>
            <w:r>
              <w:rPr>
                <w:rFonts w:hint="eastAsia" w:ascii="仿宋" w:hAnsi="仿宋" w:eastAsia="仿宋" w:cs="仿宋"/>
                <w:b/>
                <w:kern w:val="0"/>
              </w:rPr>
              <w:t>条款内容</w:t>
            </w:r>
          </w:p>
        </w:tc>
        <w:tc>
          <w:tcPr>
            <w:tcW w:w="6299" w:type="dxa"/>
            <w:gridSpan w:val="3"/>
            <w:vAlign w:val="center"/>
          </w:tcPr>
          <w:p>
            <w:pPr>
              <w:tabs>
                <w:tab w:val="left" w:pos="1875"/>
              </w:tabs>
              <w:spacing w:line="388" w:lineRule="exact"/>
              <w:jc w:val="center"/>
              <w:rPr>
                <w:rFonts w:ascii="仿宋" w:hAnsi="仿宋" w:eastAsia="仿宋" w:cs="仿宋"/>
                <w:b/>
                <w:kern w:val="0"/>
              </w:rPr>
            </w:pPr>
            <w:r>
              <w:rPr>
                <w:rFonts w:hint="eastAsia" w:ascii="仿宋" w:hAnsi="仿宋" w:eastAsia="仿宋" w:cs="仿宋"/>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3.1.4</w:t>
            </w:r>
          </w:p>
        </w:tc>
        <w:tc>
          <w:tcPr>
            <w:tcW w:w="2520" w:type="dxa"/>
            <w:gridSpan w:val="4"/>
            <w:tcBorders>
              <w:bottom w:val="single" w:color="auto" w:sz="4" w:space="0"/>
            </w:tcBorders>
            <w:vAlign w:val="center"/>
          </w:tcPr>
          <w:p>
            <w:pPr>
              <w:snapToGrid w:val="0"/>
              <w:jc w:val="center"/>
              <w:rPr>
                <w:rFonts w:ascii="仿宋" w:hAnsi="仿宋" w:eastAsia="仿宋" w:cs="仿宋"/>
                <w:kern w:val="0"/>
              </w:rPr>
            </w:pPr>
            <w:r>
              <w:rPr>
                <w:rFonts w:hint="eastAsia" w:ascii="仿宋" w:hAnsi="仿宋" w:eastAsia="仿宋" w:cs="仿宋"/>
                <w:kern w:val="0"/>
              </w:rPr>
              <w:t>分值构成</w:t>
            </w:r>
          </w:p>
          <w:p>
            <w:pPr>
              <w:snapToGrid w:val="0"/>
              <w:jc w:val="center"/>
              <w:rPr>
                <w:rFonts w:ascii="仿宋" w:hAnsi="仿宋" w:eastAsia="仿宋" w:cs="仿宋"/>
                <w:kern w:val="0"/>
              </w:rPr>
            </w:pPr>
            <w:r>
              <w:rPr>
                <w:rFonts w:hint="eastAsia" w:ascii="仿宋" w:hAnsi="仿宋" w:eastAsia="仿宋" w:cs="仿宋"/>
                <w:kern w:val="0"/>
              </w:rPr>
              <w:t>（总分100分）</w:t>
            </w:r>
          </w:p>
        </w:tc>
        <w:tc>
          <w:tcPr>
            <w:tcW w:w="6299" w:type="dxa"/>
            <w:gridSpan w:val="3"/>
            <w:tcBorders>
              <w:bottom w:val="single" w:color="auto" w:sz="4" w:space="0"/>
            </w:tcBorders>
            <w:vAlign w:val="center"/>
          </w:tcPr>
          <w:p>
            <w:pPr>
              <w:ind w:firstLine="210" w:firstLineChars="100"/>
              <w:rPr>
                <w:rFonts w:ascii="仿宋" w:hAnsi="仿宋" w:eastAsia="仿宋" w:cs="仿宋"/>
                <w:szCs w:val="21"/>
              </w:rPr>
            </w:pPr>
            <w:r>
              <w:rPr>
                <w:rFonts w:hint="eastAsia" w:ascii="仿宋" w:hAnsi="仿宋" w:eastAsia="仿宋" w:cs="仿宋"/>
                <w:szCs w:val="21"/>
              </w:rPr>
              <w:t>总分=</w:t>
            </w:r>
            <w:r>
              <w:rPr>
                <w:rFonts w:hint="eastAsia" w:ascii="仿宋" w:hAnsi="仿宋" w:eastAsia="仿宋" w:cs="仿宋"/>
              </w:rPr>
              <w:t>报价得分+</w:t>
            </w:r>
            <w:r>
              <w:rPr>
                <w:rFonts w:hint="eastAsia" w:ascii="仿宋" w:hAnsi="仿宋" w:eastAsia="仿宋" w:cs="仿宋"/>
                <w:szCs w:val="21"/>
              </w:rPr>
              <w:t>技术得分</w:t>
            </w:r>
            <w:r>
              <w:rPr>
                <w:rFonts w:hint="eastAsia" w:ascii="仿宋" w:hAnsi="仿宋" w:eastAsia="仿宋" w:cs="仿宋"/>
              </w:rPr>
              <w:t>+</w:t>
            </w:r>
            <w:r>
              <w:rPr>
                <w:rFonts w:hint="eastAsia" w:ascii="仿宋" w:hAnsi="仿宋" w:eastAsia="仿宋" w:cs="仿宋"/>
                <w:szCs w:val="21"/>
              </w:rPr>
              <w:t>商务得分+售后得分</w:t>
            </w:r>
          </w:p>
          <w:p>
            <w:pPr>
              <w:snapToGrid w:val="0"/>
              <w:ind w:firstLine="210" w:firstLineChars="100"/>
              <w:rPr>
                <w:rFonts w:ascii="仿宋" w:hAnsi="仿宋" w:eastAsia="仿宋" w:cs="仿宋"/>
                <w:szCs w:val="21"/>
              </w:rPr>
            </w:pPr>
            <w:r>
              <w:rPr>
                <w:rFonts w:hint="eastAsia" w:ascii="仿宋" w:hAnsi="仿宋" w:eastAsia="仿宋" w:cs="仿宋"/>
              </w:rPr>
              <w:t>报价</w:t>
            </w:r>
            <w:r>
              <w:rPr>
                <w:rFonts w:hint="eastAsia" w:ascii="仿宋" w:hAnsi="仿宋" w:eastAsia="仿宋" w:cs="仿宋"/>
                <w:szCs w:val="21"/>
              </w:rPr>
              <w:t>：6</w:t>
            </w:r>
            <w:r>
              <w:rPr>
                <w:rFonts w:hint="eastAsia" w:ascii="仿宋" w:hAnsi="仿宋" w:eastAsia="仿宋" w:cs="仿宋"/>
                <w:szCs w:val="21"/>
                <w:u w:val="single"/>
              </w:rPr>
              <w:t>0</w:t>
            </w:r>
            <w:r>
              <w:rPr>
                <w:rFonts w:hint="eastAsia" w:ascii="仿宋" w:hAnsi="仿宋" w:eastAsia="仿宋" w:cs="仿宋"/>
                <w:szCs w:val="21"/>
              </w:rPr>
              <w:t>分。</w:t>
            </w:r>
          </w:p>
          <w:p>
            <w:pPr>
              <w:ind w:firstLine="210" w:firstLineChars="100"/>
              <w:rPr>
                <w:rFonts w:ascii="仿宋" w:hAnsi="仿宋" w:eastAsia="仿宋" w:cs="仿宋"/>
                <w:szCs w:val="21"/>
              </w:rPr>
            </w:pPr>
            <w:r>
              <w:rPr>
                <w:rFonts w:hint="eastAsia" w:ascii="仿宋" w:hAnsi="仿宋" w:eastAsia="仿宋" w:cs="仿宋"/>
              </w:rPr>
              <w:t>技术部分</w:t>
            </w:r>
            <w:r>
              <w:rPr>
                <w:rFonts w:hint="eastAsia" w:ascii="仿宋" w:hAnsi="仿宋" w:eastAsia="仿宋" w:cs="仿宋"/>
                <w:szCs w:val="21"/>
              </w:rPr>
              <w:t>：</w:t>
            </w:r>
            <w:r>
              <w:rPr>
                <w:rFonts w:hint="eastAsia" w:ascii="仿宋" w:hAnsi="仿宋" w:eastAsia="仿宋" w:cs="仿宋"/>
                <w:szCs w:val="21"/>
                <w:u w:val="single"/>
              </w:rPr>
              <w:t>2</w:t>
            </w:r>
            <w:r>
              <w:rPr>
                <w:rFonts w:hint="eastAsia" w:ascii="仿宋" w:hAnsi="仿宋" w:eastAsia="仿宋" w:cs="仿宋"/>
                <w:szCs w:val="21"/>
                <w:u w:val="single"/>
                <w:lang w:val="en-US" w:eastAsia="zh-CN"/>
              </w:rPr>
              <w:t>5</w:t>
            </w:r>
            <w:r>
              <w:rPr>
                <w:rFonts w:hint="eastAsia" w:ascii="仿宋" w:hAnsi="仿宋" w:eastAsia="仿宋" w:cs="仿宋"/>
                <w:szCs w:val="21"/>
              </w:rPr>
              <w:t>分。</w:t>
            </w:r>
          </w:p>
          <w:p>
            <w:pPr>
              <w:snapToGrid w:val="0"/>
              <w:ind w:firstLine="210" w:firstLineChars="100"/>
              <w:rPr>
                <w:rFonts w:ascii="仿宋" w:hAnsi="仿宋" w:eastAsia="仿宋" w:cs="仿宋"/>
                <w:szCs w:val="21"/>
              </w:rPr>
            </w:pPr>
            <w:r>
              <w:rPr>
                <w:rFonts w:hint="eastAsia" w:ascii="仿宋" w:hAnsi="仿宋" w:eastAsia="仿宋" w:cs="仿宋"/>
                <w:szCs w:val="21"/>
              </w:rPr>
              <w:t>商务部分：</w:t>
            </w:r>
            <w:r>
              <w:rPr>
                <w:rFonts w:hint="eastAsia" w:ascii="仿宋" w:hAnsi="仿宋" w:eastAsia="仿宋" w:cs="仿宋"/>
                <w:szCs w:val="21"/>
                <w:u w:val="single"/>
              </w:rPr>
              <w:t>1</w:t>
            </w:r>
            <w:r>
              <w:rPr>
                <w:rFonts w:hint="eastAsia" w:ascii="仿宋" w:hAnsi="仿宋" w:eastAsia="仿宋" w:cs="仿宋"/>
                <w:szCs w:val="21"/>
                <w:u w:val="single"/>
                <w:lang w:val="en-US" w:eastAsia="zh-CN"/>
              </w:rPr>
              <w:t>0</w:t>
            </w:r>
            <w:r>
              <w:rPr>
                <w:rFonts w:hint="eastAsia" w:ascii="仿宋" w:hAnsi="仿宋" w:eastAsia="仿宋" w:cs="仿宋"/>
                <w:szCs w:val="21"/>
              </w:rPr>
              <w:t>分。</w:t>
            </w:r>
          </w:p>
          <w:p>
            <w:pPr>
              <w:snapToGrid w:val="0"/>
              <w:ind w:firstLine="210" w:firstLineChars="100"/>
              <w:rPr>
                <w:rFonts w:ascii="仿宋" w:hAnsi="仿宋" w:eastAsia="仿宋" w:cs="仿宋"/>
                <w:szCs w:val="21"/>
              </w:rPr>
            </w:pPr>
            <w:r>
              <w:rPr>
                <w:rFonts w:hint="eastAsia" w:ascii="仿宋" w:hAnsi="仿宋" w:eastAsia="仿宋" w:cs="仿宋"/>
                <w:szCs w:val="21"/>
              </w:rPr>
              <w:t>售后部分：</w:t>
            </w:r>
            <w:r>
              <w:rPr>
                <w:rFonts w:hint="eastAsia" w:ascii="仿宋" w:hAnsi="仿宋" w:eastAsia="仿宋" w:cs="仿宋"/>
                <w:szCs w:val="21"/>
                <w:u w:val="single"/>
              </w:rPr>
              <w:t>5</w:t>
            </w:r>
            <w:r>
              <w:rPr>
                <w:rFonts w:hint="eastAsia" w:ascii="仿宋" w:hAnsi="仿宋" w:eastAsia="仿宋" w:cs="仿宋"/>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3.1.5</w:t>
            </w:r>
          </w:p>
        </w:tc>
        <w:tc>
          <w:tcPr>
            <w:tcW w:w="2520" w:type="dxa"/>
            <w:gridSpan w:val="4"/>
            <w:vAlign w:val="center"/>
          </w:tcPr>
          <w:p>
            <w:pPr>
              <w:snapToGrid w:val="0"/>
              <w:rPr>
                <w:rFonts w:ascii="仿宋" w:hAnsi="仿宋" w:eastAsia="仿宋" w:cs="仿宋"/>
                <w:kern w:val="0"/>
              </w:rPr>
            </w:pPr>
            <w:r>
              <w:rPr>
                <w:rFonts w:hint="eastAsia" w:ascii="仿宋" w:hAnsi="仿宋" w:eastAsia="仿宋" w:cs="仿宋"/>
                <w:szCs w:val="21"/>
                <w:lang w:eastAsia="zh-CN"/>
              </w:rPr>
              <w:t>评审</w:t>
            </w:r>
            <w:r>
              <w:rPr>
                <w:rFonts w:hint="eastAsia" w:ascii="仿宋" w:hAnsi="仿宋" w:eastAsia="仿宋" w:cs="仿宋"/>
                <w:szCs w:val="21"/>
              </w:rPr>
              <w:t>基准价计算方法</w:t>
            </w:r>
          </w:p>
        </w:tc>
        <w:tc>
          <w:tcPr>
            <w:tcW w:w="6299" w:type="dxa"/>
            <w:gridSpan w:val="3"/>
            <w:vAlign w:val="center"/>
          </w:tcPr>
          <w:p>
            <w:pPr>
              <w:adjustRightInd w:val="0"/>
              <w:snapToGrid w:val="0"/>
              <w:spacing w:before="62" w:beforeLines="20" w:line="300" w:lineRule="auto"/>
              <w:rPr>
                <w:rFonts w:ascii="仿宋" w:hAnsi="仿宋" w:eastAsia="仿宋" w:cs="仿宋"/>
                <w:kern w:val="0"/>
                <w:szCs w:val="21"/>
              </w:rPr>
            </w:pPr>
            <w:r>
              <w:rPr>
                <w:rFonts w:hint="eastAsia" w:ascii="仿宋" w:hAnsi="仿宋" w:eastAsia="仿宋" w:cs="仿宋"/>
                <w:kern w:val="0"/>
                <w:szCs w:val="21"/>
              </w:rPr>
              <w:t>报价的</w:t>
            </w:r>
            <w:r>
              <w:rPr>
                <w:rFonts w:hint="eastAsia" w:ascii="仿宋" w:hAnsi="仿宋" w:eastAsia="仿宋" w:cs="仿宋"/>
                <w:kern w:val="0"/>
                <w:szCs w:val="21"/>
                <w:lang w:eastAsia="zh-CN"/>
              </w:rPr>
              <w:t>评审</w:t>
            </w:r>
            <w:r>
              <w:rPr>
                <w:rFonts w:hint="eastAsia" w:ascii="仿宋" w:hAnsi="仿宋" w:eastAsia="仿宋" w:cs="仿宋"/>
                <w:kern w:val="0"/>
                <w:szCs w:val="21"/>
              </w:rPr>
              <w:t>基准价：</w:t>
            </w:r>
          </w:p>
          <w:p>
            <w:pPr>
              <w:autoSpaceDE w:val="0"/>
              <w:autoSpaceDN w:val="0"/>
              <w:adjustRightInd w:val="0"/>
              <w:spacing w:before="62" w:beforeLines="20" w:line="300" w:lineRule="auto"/>
              <w:rPr>
                <w:rFonts w:ascii="仿宋" w:hAnsi="仿宋" w:eastAsia="仿宋" w:cs="仿宋"/>
                <w:kern w:val="0"/>
                <w:szCs w:val="21"/>
              </w:rPr>
            </w:pPr>
            <w:r>
              <w:rPr>
                <w:rFonts w:hint="eastAsia" w:ascii="仿宋" w:hAnsi="仿宋" w:eastAsia="仿宋" w:cs="仿宋"/>
                <w:kern w:val="0"/>
                <w:szCs w:val="21"/>
              </w:rPr>
              <w:t>在</w:t>
            </w:r>
            <w:r>
              <w:rPr>
                <w:rFonts w:hint="eastAsia" w:ascii="仿宋" w:hAnsi="仿宋" w:eastAsia="仿宋" w:cs="仿宋"/>
                <w:kern w:val="0"/>
                <w:szCs w:val="21"/>
                <w:lang w:eastAsia="zh-CN"/>
              </w:rPr>
              <w:t>比选</w:t>
            </w:r>
            <w:r>
              <w:rPr>
                <w:rFonts w:hint="eastAsia" w:ascii="仿宋" w:hAnsi="仿宋" w:eastAsia="仿宋" w:cs="仿宋"/>
                <w:kern w:val="0"/>
                <w:szCs w:val="21"/>
              </w:rPr>
              <w:t>人公布的最高限价的作</w:t>
            </w:r>
            <w:r>
              <w:rPr>
                <w:rFonts w:hint="eastAsia" w:ascii="仿宋" w:hAnsi="仿宋" w:eastAsia="仿宋" w:cs="仿宋"/>
                <w:kern w:val="0"/>
                <w:szCs w:val="21"/>
                <w:lang w:val="en-US" w:eastAsia="zh-CN"/>
              </w:rPr>
              <w:t>为</w:t>
            </w:r>
            <w:r>
              <w:rPr>
                <w:rFonts w:hint="eastAsia" w:ascii="仿宋" w:hAnsi="仿宋" w:eastAsia="仿宋" w:cs="仿宋"/>
                <w:kern w:val="0"/>
                <w:szCs w:val="21"/>
              </w:rPr>
              <w:t>指导价，在最高限价范围内的所有经初步评审合格的</w:t>
            </w:r>
            <w:r>
              <w:rPr>
                <w:rFonts w:hint="eastAsia" w:ascii="仿宋" w:hAnsi="仿宋" w:eastAsia="仿宋" w:cs="仿宋"/>
                <w:kern w:val="0"/>
                <w:szCs w:val="21"/>
                <w:lang w:eastAsia="zh-CN"/>
              </w:rPr>
              <w:t>响应</w:t>
            </w:r>
            <w:r>
              <w:rPr>
                <w:rFonts w:hint="eastAsia" w:ascii="仿宋" w:hAnsi="仿宋" w:eastAsia="仿宋" w:cs="仿宋"/>
                <w:kern w:val="0"/>
                <w:szCs w:val="21"/>
              </w:rPr>
              <w:t>人的</w:t>
            </w:r>
            <w:r>
              <w:rPr>
                <w:rFonts w:hint="eastAsia" w:ascii="仿宋" w:hAnsi="仿宋" w:eastAsia="仿宋" w:cs="仿宋"/>
                <w:kern w:val="0"/>
                <w:szCs w:val="21"/>
                <w:lang w:eastAsia="zh-CN"/>
              </w:rPr>
              <w:t>响应</w:t>
            </w:r>
            <w:r>
              <w:rPr>
                <w:rFonts w:hint="eastAsia" w:ascii="仿宋" w:hAnsi="仿宋" w:eastAsia="仿宋" w:cs="仿宋"/>
                <w:kern w:val="0"/>
                <w:szCs w:val="21"/>
              </w:rPr>
              <w:t>总报价中去掉1/6（不能整除的按小数前整数取整，不足六家（含）报价则不去掉）的最高价和相同家数的最低价后进行算术平均，所得的算术平均值，即为</w:t>
            </w:r>
            <w:r>
              <w:rPr>
                <w:rFonts w:hint="eastAsia" w:ascii="仿宋" w:hAnsi="仿宋" w:eastAsia="仿宋" w:cs="仿宋"/>
                <w:kern w:val="0"/>
                <w:szCs w:val="21"/>
                <w:lang w:eastAsia="zh-CN"/>
              </w:rPr>
              <w:t>响应</w:t>
            </w:r>
            <w:r>
              <w:rPr>
                <w:rFonts w:hint="eastAsia" w:ascii="仿宋" w:hAnsi="仿宋" w:eastAsia="仿宋" w:cs="仿宋"/>
                <w:kern w:val="0"/>
                <w:szCs w:val="21"/>
              </w:rPr>
              <w:t>总报价的</w:t>
            </w:r>
            <w:r>
              <w:rPr>
                <w:rFonts w:hint="eastAsia" w:ascii="仿宋" w:hAnsi="仿宋" w:eastAsia="仿宋" w:cs="仿宋"/>
                <w:kern w:val="0"/>
                <w:szCs w:val="21"/>
                <w:lang w:eastAsia="zh-CN"/>
              </w:rPr>
              <w:t>评审</w:t>
            </w:r>
            <w:r>
              <w:rPr>
                <w:rFonts w:hint="eastAsia" w:ascii="仿宋" w:hAnsi="仿宋" w:eastAsia="仿宋" w:cs="仿宋"/>
                <w:kern w:val="0"/>
                <w:szCs w:val="21"/>
              </w:rPr>
              <w:t>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83" w:type="dxa"/>
            <w:gridSpan w:val="5"/>
            <w:vAlign w:val="center"/>
          </w:tcPr>
          <w:p>
            <w:pPr>
              <w:spacing w:line="440" w:lineRule="exact"/>
              <w:jc w:val="center"/>
              <w:rPr>
                <w:rFonts w:ascii="仿宋" w:hAnsi="仿宋" w:eastAsia="仿宋" w:cs="仿宋"/>
                <w:szCs w:val="21"/>
              </w:rPr>
            </w:pPr>
            <w:r>
              <w:rPr>
                <w:rFonts w:hint="eastAsia" w:ascii="仿宋" w:hAnsi="仿宋" w:eastAsia="仿宋" w:cs="仿宋"/>
                <w:b/>
                <w:szCs w:val="21"/>
              </w:rPr>
              <w:t>条款号</w:t>
            </w:r>
          </w:p>
        </w:tc>
        <w:tc>
          <w:tcPr>
            <w:tcW w:w="1217" w:type="dxa"/>
            <w:gridSpan w:val="2"/>
            <w:tcBorders>
              <w:bottom w:val="single" w:color="auto" w:sz="4" w:space="0"/>
              <w:right w:val="single" w:color="auto" w:sz="4" w:space="0"/>
            </w:tcBorders>
            <w:vAlign w:val="center"/>
          </w:tcPr>
          <w:p>
            <w:pPr>
              <w:spacing w:line="440" w:lineRule="exact"/>
              <w:jc w:val="center"/>
              <w:rPr>
                <w:rFonts w:ascii="仿宋" w:hAnsi="仿宋" w:eastAsia="仿宋" w:cs="仿宋"/>
                <w:szCs w:val="21"/>
              </w:rPr>
            </w:pPr>
            <w:r>
              <w:rPr>
                <w:rFonts w:hint="eastAsia" w:ascii="仿宋" w:hAnsi="仿宋" w:eastAsia="仿宋" w:cs="仿宋"/>
                <w:b/>
                <w:szCs w:val="21"/>
              </w:rPr>
              <w:t>评分因素</w:t>
            </w:r>
          </w:p>
        </w:tc>
        <w:tc>
          <w:tcPr>
            <w:tcW w:w="768" w:type="dxa"/>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Cs w:val="21"/>
              </w:rPr>
            </w:pPr>
            <w:r>
              <w:rPr>
                <w:rFonts w:hint="eastAsia" w:ascii="仿宋" w:hAnsi="仿宋" w:eastAsia="仿宋" w:cs="仿宋"/>
                <w:b/>
                <w:szCs w:val="21"/>
              </w:rPr>
              <w:t>分值</w:t>
            </w:r>
          </w:p>
        </w:tc>
        <w:tc>
          <w:tcPr>
            <w:tcW w:w="5351" w:type="dxa"/>
            <w:tcBorders>
              <w:left w:val="single" w:color="auto" w:sz="4" w:space="0"/>
              <w:bottom w:val="single" w:color="auto" w:sz="4" w:space="0"/>
            </w:tcBorders>
            <w:vAlign w:val="center"/>
          </w:tcPr>
          <w:p>
            <w:pPr>
              <w:spacing w:line="440" w:lineRule="exact"/>
              <w:jc w:val="center"/>
              <w:rPr>
                <w:rFonts w:ascii="仿宋" w:hAnsi="仿宋" w:eastAsia="仿宋" w:cs="仿宋"/>
                <w:b/>
                <w:szCs w:val="21"/>
              </w:rPr>
            </w:pPr>
            <w:r>
              <w:rPr>
                <w:rFonts w:hint="eastAsia" w:ascii="仿宋" w:hAnsi="仿宋" w:eastAsia="仿宋" w:cs="仿宋"/>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restart"/>
            <w:vAlign w:val="center"/>
          </w:tcPr>
          <w:p>
            <w:pPr>
              <w:spacing w:line="440" w:lineRule="exact"/>
              <w:jc w:val="center"/>
              <w:rPr>
                <w:rFonts w:ascii="仿宋" w:hAnsi="仿宋" w:eastAsia="仿宋" w:cs="仿宋"/>
                <w:szCs w:val="21"/>
              </w:rPr>
            </w:pPr>
            <w:r>
              <w:rPr>
                <w:rFonts w:hint="eastAsia" w:ascii="仿宋" w:hAnsi="仿宋" w:eastAsia="仿宋" w:cs="仿宋"/>
                <w:szCs w:val="21"/>
              </w:rPr>
              <w:t>3.1.6(1)</w:t>
            </w:r>
          </w:p>
        </w:tc>
        <w:tc>
          <w:tcPr>
            <w:tcW w:w="1483" w:type="dxa"/>
            <w:gridSpan w:val="3"/>
            <w:vMerge w:val="restart"/>
            <w:tcBorders>
              <w:right w:val="single" w:color="auto" w:sz="4" w:space="0"/>
            </w:tcBorders>
            <w:vAlign w:val="center"/>
          </w:tcPr>
          <w:p>
            <w:pPr>
              <w:spacing w:line="440" w:lineRule="exact"/>
              <w:jc w:val="center"/>
              <w:rPr>
                <w:rFonts w:ascii="仿宋" w:hAnsi="仿宋" w:eastAsia="仿宋" w:cs="仿宋"/>
                <w:szCs w:val="21"/>
              </w:rPr>
            </w:pPr>
            <w:r>
              <w:rPr>
                <w:rFonts w:hint="eastAsia" w:ascii="仿宋" w:hAnsi="仿宋" w:eastAsia="仿宋" w:cs="仿宋"/>
              </w:rPr>
              <w:t>技术部分</w:t>
            </w:r>
            <w:r>
              <w:rPr>
                <w:rFonts w:hint="eastAsia" w:ascii="仿宋" w:hAnsi="仿宋" w:eastAsia="仿宋" w:cs="仿宋"/>
                <w:szCs w:val="21"/>
              </w:rPr>
              <w:t>评分标准A（2</w:t>
            </w:r>
            <w:r>
              <w:rPr>
                <w:rFonts w:hint="eastAsia" w:ascii="仿宋" w:hAnsi="仿宋" w:eastAsia="仿宋" w:cs="仿宋"/>
                <w:szCs w:val="21"/>
                <w:lang w:val="en-US" w:eastAsia="zh-CN"/>
              </w:rPr>
              <w:t>5</w:t>
            </w:r>
            <w:r>
              <w:rPr>
                <w:rFonts w:hint="eastAsia" w:ascii="仿宋" w:hAnsi="仿宋" w:eastAsia="仿宋" w:cs="仿宋"/>
                <w:szCs w:val="21"/>
              </w:rPr>
              <w:t>分）</w:t>
            </w:r>
          </w:p>
        </w:tc>
        <w:tc>
          <w:tcPr>
            <w:tcW w:w="1217" w:type="dxa"/>
            <w:gridSpan w:val="2"/>
            <w:vMerge w:val="restart"/>
            <w:tcBorders>
              <w:lef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产品选型（2</w:t>
            </w:r>
            <w:r>
              <w:rPr>
                <w:rFonts w:ascii="仿宋" w:hAnsi="仿宋" w:eastAsia="仿宋" w:cs="仿宋"/>
                <w:szCs w:val="21"/>
              </w:rPr>
              <w:t>5</w:t>
            </w:r>
            <w:r>
              <w:rPr>
                <w:rFonts w:hint="eastAsia" w:ascii="仿宋" w:hAnsi="仿宋" w:eastAsia="仿宋" w:cs="仿宋"/>
                <w:szCs w:val="21"/>
              </w:rPr>
              <w:t>分）</w:t>
            </w:r>
          </w:p>
        </w:tc>
        <w:tc>
          <w:tcPr>
            <w:tcW w:w="768" w:type="dxa"/>
            <w:tcBorders>
              <w:right w:val="single" w:color="auto" w:sz="4" w:space="0"/>
            </w:tcBorders>
            <w:vAlign w:val="center"/>
          </w:tcPr>
          <w:p>
            <w:pPr>
              <w:pStyle w:val="31"/>
              <w:rPr>
                <w:rFonts w:ascii="仿宋" w:hAnsi="仿宋" w:eastAsia="仿宋" w:cs="仿宋"/>
                <w:kern w:val="0"/>
              </w:rPr>
            </w:pPr>
            <w:r>
              <w:rPr>
                <w:rFonts w:ascii="仿宋" w:hAnsi="仿宋" w:eastAsia="仿宋" w:cs="仿宋"/>
                <w:kern w:val="0"/>
              </w:rPr>
              <w:t>15</w:t>
            </w:r>
            <w:r>
              <w:rPr>
                <w:rFonts w:hint="eastAsia" w:ascii="仿宋" w:hAnsi="仿宋" w:eastAsia="仿宋" w:cs="仿宋"/>
                <w:kern w:val="0"/>
              </w:rPr>
              <w:t>分</w:t>
            </w:r>
          </w:p>
        </w:tc>
        <w:tc>
          <w:tcPr>
            <w:tcW w:w="5351" w:type="dxa"/>
            <w:tcBorders>
              <w:left w:val="single" w:color="auto" w:sz="4" w:space="0"/>
            </w:tcBorders>
            <w:vAlign w:val="center"/>
          </w:tcPr>
          <w:p>
            <w:pPr>
              <w:spacing w:line="400" w:lineRule="exact"/>
              <w:rPr>
                <w:rFonts w:ascii="仿宋" w:hAnsi="仿宋" w:eastAsia="仿宋" w:cs="仿宋"/>
                <w:kern w:val="0"/>
                <w:szCs w:val="21"/>
              </w:rPr>
            </w:pPr>
            <w:r>
              <w:rPr>
                <w:rFonts w:hint="eastAsia" w:ascii="仿宋" w:hAnsi="仿宋" w:eastAsia="仿宋" w:cs="仿宋"/>
                <w:kern w:val="0"/>
                <w:szCs w:val="21"/>
              </w:rPr>
              <w:t>1.所</w:t>
            </w:r>
            <w:r>
              <w:rPr>
                <w:rFonts w:hint="eastAsia" w:ascii="仿宋" w:hAnsi="仿宋" w:eastAsia="仿宋" w:cs="仿宋"/>
                <w:kern w:val="0"/>
                <w:szCs w:val="21"/>
                <w:lang w:eastAsia="zh-CN"/>
              </w:rPr>
              <w:t>响应</w:t>
            </w:r>
            <w:r>
              <w:rPr>
                <w:rFonts w:hint="eastAsia" w:ascii="仿宋" w:hAnsi="仿宋" w:eastAsia="仿宋" w:cs="仿宋"/>
                <w:kern w:val="0"/>
                <w:szCs w:val="21"/>
              </w:rPr>
              <w:t>产品的技术标准</w:t>
            </w:r>
            <w:r>
              <w:rPr>
                <w:rFonts w:hint="eastAsia" w:ascii="仿宋" w:hAnsi="仿宋" w:eastAsia="仿宋" w:cs="仿宋"/>
                <w:kern w:val="0"/>
                <w:szCs w:val="21"/>
                <w:lang w:val="en-US" w:eastAsia="zh-CN"/>
              </w:rPr>
              <w:t>须</w:t>
            </w:r>
            <w:r>
              <w:rPr>
                <w:rFonts w:hint="eastAsia" w:ascii="仿宋" w:hAnsi="仿宋" w:eastAsia="仿宋" w:cs="仿宋"/>
                <w:kern w:val="0"/>
                <w:szCs w:val="21"/>
              </w:rPr>
              <w:t>完全满足</w:t>
            </w:r>
            <w:r>
              <w:rPr>
                <w:rFonts w:hint="eastAsia" w:ascii="仿宋" w:hAnsi="仿宋" w:eastAsia="仿宋" w:cs="仿宋"/>
                <w:kern w:val="0"/>
                <w:szCs w:val="21"/>
                <w:lang w:eastAsia="zh-CN"/>
              </w:rPr>
              <w:t>比选</w:t>
            </w:r>
            <w:r>
              <w:rPr>
                <w:rFonts w:hint="eastAsia" w:ascii="仿宋" w:hAnsi="仿宋" w:eastAsia="仿宋" w:cs="仿宋"/>
                <w:kern w:val="0"/>
                <w:szCs w:val="21"/>
              </w:rPr>
              <w:t>文件中技术要求；</w:t>
            </w:r>
          </w:p>
          <w:p>
            <w:pPr>
              <w:spacing w:line="400" w:lineRule="exact"/>
              <w:rPr>
                <w:rFonts w:ascii="仿宋" w:hAnsi="仿宋" w:eastAsia="仿宋" w:cs="仿宋"/>
                <w:kern w:val="0"/>
                <w:szCs w:val="21"/>
              </w:rPr>
            </w:pPr>
            <w:r>
              <w:rPr>
                <w:rFonts w:hint="eastAsia" w:ascii="仿宋" w:hAnsi="仿宋" w:eastAsia="仿宋" w:cs="仿宋"/>
                <w:kern w:val="0"/>
                <w:szCs w:val="21"/>
              </w:rPr>
              <w:t>2.扣分原则：</w:t>
            </w:r>
          </w:p>
          <w:p>
            <w:pPr>
              <w:widowControl/>
              <w:spacing w:line="360" w:lineRule="auto"/>
              <w:jc w:val="left"/>
              <w:rPr>
                <w:rFonts w:hint="eastAsia" w:ascii="仿宋" w:hAnsi="仿宋" w:eastAsia="仿宋" w:cs="仿宋"/>
                <w:kern w:val="0"/>
                <w:szCs w:val="21"/>
              </w:rPr>
            </w:pPr>
            <w:r>
              <w:rPr>
                <w:rFonts w:hint="default" w:ascii="Calibri" w:hAnsi="Calibri" w:eastAsia="仿宋" w:cs="Calibri"/>
                <w:kern w:val="0"/>
                <w:szCs w:val="21"/>
                <w:lang w:eastAsia="zh-CN"/>
              </w:rPr>
              <w:t>①</w:t>
            </w:r>
            <w:r>
              <w:rPr>
                <w:rFonts w:hint="eastAsia" w:ascii="仿宋" w:hAnsi="仿宋" w:eastAsia="仿宋" w:cs="仿宋"/>
                <w:kern w:val="0"/>
                <w:szCs w:val="21"/>
                <w:lang w:eastAsia="zh-CN"/>
              </w:rPr>
              <w:t>比选</w:t>
            </w:r>
            <w:r>
              <w:rPr>
                <w:rFonts w:hint="eastAsia" w:ascii="仿宋" w:hAnsi="仿宋" w:eastAsia="仿宋" w:cs="仿宋"/>
                <w:kern w:val="0"/>
                <w:szCs w:val="21"/>
              </w:rPr>
              <w:t>文件“项目实施内容及要求”第1.2“消防救援装备器材明细”表内“规格型号及要求”中加“★”项为</w:t>
            </w:r>
            <w:r>
              <w:rPr>
                <w:rFonts w:hint="eastAsia" w:ascii="仿宋" w:hAnsi="仿宋" w:eastAsia="仿宋" w:cs="仿宋"/>
                <w:kern w:val="0"/>
                <w:szCs w:val="21"/>
                <w:lang w:eastAsia="zh-CN"/>
              </w:rPr>
              <w:t>比选</w:t>
            </w:r>
            <w:r>
              <w:rPr>
                <w:rFonts w:hint="eastAsia" w:ascii="仿宋" w:hAnsi="仿宋" w:eastAsia="仿宋" w:cs="仿宋"/>
                <w:kern w:val="0"/>
                <w:szCs w:val="21"/>
              </w:rPr>
              <w:t>内容关键指标,一项不满足，技术部分评分得0分（对</w:t>
            </w:r>
            <w:r>
              <w:rPr>
                <w:rFonts w:hint="eastAsia" w:ascii="仿宋" w:hAnsi="仿宋" w:eastAsia="仿宋" w:cs="仿宋"/>
                <w:kern w:val="0"/>
                <w:szCs w:val="21"/>
                <w:lang w:eastAsia="zh-CN"/>
              </w:rPr>
              <w:t>响应</w:t>
            </w:r>
            <w:r>
              <w:rPr>
                <w:rFonts w:hint="eastAsia" w:ascii="仿宋" w:hAnsi="仿宋" w:eastAsia="仿宋" w:cs="仿宋"/>
                <w:kern w:val="0"/>
                <w:szCs w:val="21"/>
              </w:rPr>
              <w:t>人提供的产品试验检验报告、强制认证证书进行审核）。该项得0分的</w:t>
            </w:r>
            <w:r>
              <w:rPr>
                <w:rFonts w:hint="eastAsia" w:ascii="仿宋" w:hAnsi="仿宋" w:eastAsia="仿宋" w:cs="仿宋"/>
                <w:kern w:val="0"/>
                <w:szCs w:val="21"/>
                <w:lang w:eastAsia="zh-CN"/>
              </w:rPr>
              <w:t>响应</w:t>
            </w:r>
            <w:r>
              <w:rPr>
                <w:rFonts w:hint="eastAsia" w:ascii="仿宋" w:hAnsi="仿宋" w:eastAsia="仿宋" w:cs="仿宋"/>
                <w:kern w:val="0"/>
                <w:szCs w:val="21"/>
              </w:rPr>
              <w:t>文件作废。</w:t>
            </w:r>
          </w:p>
          <w:p>
            <w:pPr>
              <w:widowControl/>
              <w:spacing w:line="360" w:lineRule="auto"/>
              <w:jc w:val="left"/>
              <w:rPr>
                <w:rFonts w:hint="eastAsia" w:ascii="仿宋" w:hAnsi="仿宋" w:eastAsia="仿宋" w:cs="仿宋"/>
                <w:kern w:val="0"/>
                <w:szCs w:val="21"/>
                <w:lang w:val="en-US" w:eastAsia="zh-CN"/>
              </w:rPr>
            </w:pPr>
            <w:r>
              <w:rPr>
                <w:rFonts w:hint="default" w:ascii="Calibri" w:hAnsi="Calibri" w:eastAsia="仿宋" w:cs="Calibri"/>
                <w:kern w:val="0"/>
                <w:szCs w:val="21"/>
              </w:rPr>
              <w:t>②</w:t>
            </w:r>
            <w:r>
              <w:rPr>
                <w:rFonts w:hint="eastAsia" w:ascii="Calibri" w:hAnsi="Calibri" w:eastAsia="仿宋" w:cs="Calibri"/>
                <w:kern w:val="0"/>
                <w:szCs w:val="21"/>
                <w:lang w:val="en-US" w:eastAsia="zh-CN"/>
              </w:rPr>
              <w:t>所有加“</w:t>
            </w:r>
            <w:r>
              <w:rPr>
                <w:rFonts w:hint="eastAsia" w:ascii="宋体" w:hAnsi="宋体" w:eastAsia="宋体" w:cs="宋体"/>
                <w:kern w:val="0"/>
                <w:szCs w:val="21"/>
                <w:lang w:val="en-US" w:eastAsia="zh-CN"/>
              </w:rPr>
              <w:t>★</w:t>
            </w:r>
            <w:r>
              <w:rPr>
                <w:rFonts w:hint="eastAsia" w:ascii="Calibri" w:hAnsi="Calibri" w:eastAsia="仿宋" w:cs="Calibri"/>
                <w:kern w:val="0"/>
                <w:szCs w:val="21"/>
                <w:lang w:val="en-US" w:eastAsia="zh-CN"/>
              </w:rPr>
              <w:t>”项都满足的响应文件，在</w:t>
            </w:r>
            <w:r>
              <w:rPr>
                <w:rFonts w:hint="eastAsia" w:ascii="仿宋" w:hAnsi="仿宋" w:eastAsia="仿宋" w:cs="仿宋"/>
                <w:kern w:val="0"/>
                <w:szCs w:val="21"/>
                <w:lang w:val="en-US" w:eastAsia="zh-CN"/>
              </w:rPr>
              <w:t>非加“</w:t>
            </w:r>
            <w:r>
              <w:rPr>
                <w:rFonts w:hint="eastAsia" w:ascii="宋体" w:hAnsi="宋体" w:eastAsia="宋体" w:cs="宋体"/>
                <w:kern w:val="0"/>
                <w:szCs w:val="21"/>
                <w:lang w:val="en-US" w:eastAsia="zh-CN"/>
              </w:rPr>
              <w:t>★</w:t>
            </w:r>
            <w:r>
              <w:rPr>
                <w:rFonts w:hint="eastAsia" w:ascii="仿宋" w:hAnsi="仿宋" w:eastAsia="仿宋" w:cs="仿宋"/>
                <w:kern w:val="0"/>
                <w:szCs w:val="21"/>
                <w:lang w:val="en-US" w:eastAsia="zh-CN"/>
              </w:rPr>
              <w:t>”项技术要求中，一项不满足扣1分，15分扣完为止。（</w:t>
            </w:r>
            <w:r>
              <w:rPr>
                <w:rFonts w:hint="eastAsia" w:ascii="仿宋" w:hAnsi="仿宋" w:eastAsia="仿宋" w:cs="仿宋"/>
                <w:kern w:val="0"/>
                <w:szCs w:val="21"/>
              </w:rPr>
              <w:t>对</w:t>
            </w:r>
            <w:r>
              <w:rPr>
                <w:rFonts w:hint="eastAsia" w:ascii="仿宋" w:hAnsi="仿宋" w:eastAsia="仿宋" w:cs="仿宋"/>
                <w:kern w:val="0"/>
                <w:szCs w:val="21"/>
                <w:lang w:eastAsia="zh-CN"/>
              </w:rPr>
              <w:t>响应</w:t>
            </w:r>
            <w:r>
              <w:rPr>
                <w:rFonts w:hint="eastAsia" w:ascii="仿宋" w:hAnsi="仿宋" w:eastAsia="仿宋" w:cs="仿宋"/>
                <w:kern w:val="0"/>
                <w:szCs w:val="21"/>
              </w:rPr>
              <w:t>人提供的产品试验检验报告</w:t>
            </w:r>
            <w:r>
              <w:rPr>
                <w:rFonts w:hint="eastAsia" w:ascii="仿宋" w:hAnsi="仿宋" w:eastAsia="仿宋" w:cs="仿宋"/>
                <w:kern w:val="0"/>
                <w:szCs w:val="21"/>
                <w:lang w:val="en-US" w:eastAsia="zh-CN"/>
              </w:rPr>
              <w:t>与实物样品对比审验）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continue"/>
            <w:vAlign w:val="center"/>
          </w:tcPr>
          <w:p>
            <w:pPr>
              <w:spacing w:line="440" w:lineRule="exact"/>
              <w:jc w:val="center"/>
              <w:rPr>
                <w:rFonts w:ascii="仿宋" w:hAnsi="仿宋" w:eastAsia="仿宋" w:cs="仿宋"/>
                <w:szCs w:val="21"/>
              </w:rPr>
            </w:pPr>
          </w:p>
        </w:tc>
        <w:tc>
          <w:tcPr>
            <w:tcW w:w="1483" w:type="dxa"/>
            <w:gridSpan w:val="3"/>
            <w:vMerge w:val="continue"/>
            <w:tcBorders>
              <w:right w:val="single" w:color="auto" w:sz="4" w:space="0"/>
            </w:tcBorders>
            <w:vAlign w:val="center"/>
          </w:tcPr>
          <w:p>
            <w:pPr>
              <w:spacing w:line="440" w:lineRule="exact"/>
              <w:jc w:val="center"/>
              <w:rPr>
                <w:rFonts w:ascii="仿宋" w:hAnsi="仿宋" w:eastAsia="仿宋" w:cs="仿宋"/>
              </w:rPr>
            </w:pPr>
          </w:p>
        </w:tc>
        <w:tc>
          <w:tcPr>
            <w:tcW w:w="1217" w:type="dxa"/>
            <w:gridSpan w:val="2"/>
            <w:vMerge w:val="continue"/>
            <w:tcBorders>
              <w:left w:val="single" w:color="auto" w:sz="4" w:space="0"/>
            </w:tcBorders>
            <w:vAlign w:val="center"/>
          </w:tcPr>
          <w:p>
            <w:pPr>
              <w:spacing w:line="360" w:lineRule="auto"/>
              <w:jc w:val="center"/>
              <w:rPr>
                <w:rFonts w:ascii="仿宋" w:hAnsi="仿宋" w:eastAsia="仿宋" w:cs="仿宋"/>
                <w:szCs w:val="21"/>
              </w:rPr>
            </w:pPr>
          </w:p>
        </w:tc>
        <w:tc>
          <w:tcPr>
            <w:tcW w:w="768" w:type="dxa"/>
            <w:tcBorders>
              <w:right w:val="single" w:color="auto" w:sz="4" w:space="0"/>
            </w:tcBorders>
            <w:vAlign w:val="center"/>
          </w:tcPr>
          <w:p>
            <w:pPr>
              <w:pStyle w:val="31"/>
              <w:jc w:val="center"/>
              <w:rPr>
                <w:rFonts w:ascii="仿宋" w:hAnsi="仿宋" w:eastAsia="仿宋" w:cs="仿宋"/>
                <w:kern w:val="0"/>
              </w:rPr>
            </w:pPr>
            <w:r>
              <w:rPr>
                <w:rFonts w:hint="eastAsia" w:ascii="仿宋" w:hAnsi="仿宋" w:eastAsia="仿宋" w:cs="仿宋"/>
                <w:kern w:val="0"/>
              </w:rPr>
              <w:t>10分</w:t>
            </w:r>
          </w:p>
        </w:tc>
        <w:tc>
          <w:tcPr>
            <w:tcW w:w="5351" w:type="dxa"/>
            <w:tcBorders>
              <w:left w:val="single" w:color="auto" w:sz="4" w:space="0"/>
            </w:tcBorders>
            <w:vAlign w:val="center"/>
          </w:tcPr>
          <w:p>
            <w:pPr>
              <w:spacing w:line="400" w:lineRule="exact"/>
              <w:rPr>
                <w:rFonts w:ascii="仿宋" w:hAnsi="仿宋" w:eastAsia="仿宋" w:cs="仿宋"/>
                <w:kern w:val="0"/>
                <w:szCs w:val="21"/>
              </w:rPr>
            </w:pPr>
            <w:r>
              <w:rPr>
                <w:rFonts w:hint="eastAsia" w:ascii="仿宋" w:hAnsi="仿宋" w:eastAsia="仿宋" w:cs="仿宋"/>
                <w:kern w:val="0"/>
                <w:szCs w:val="21"/>
              </w:rPr>
              <w:t>所</w:t>
            </w:r>
            <w:r>
              <w:rPr>
                <w:rFonts w:hint="eastAsia" w:ascii="仿宋" w:hAnsi="仿宋" w:eastAsia="仿宋" w:cs="仿宋"/>
                <w:kern w:val="0"/>
                <w:szCs w:val="21"/>
                <w:lang w:eastAsia="zh-CN"/>
              </w:rPr>
              <w:t>响应</w:t>
            </w:r>
            <w:r>
              <w:rPr>
                <w:rFonts w:hint="eastAsia" w:ascii="仿宋" w:hAnsi="仿宋" w:eastAsia="仿宋" w:cs="仿宋"/>
                <w:kern w:val="0"/>
                <w:szCs w:val="21"/>
              </w:rPr>
              <w:t>产品，实际技术标准高于强制性认证标准，且能提供证明材料。有三项及以上产品高于强制性认证标准的得：10分；两项的得5分；一项的得2分；不能提供的得0分。（提供复印件，原件备查。</w:t>
            </w:r>
            <w:r>
              <w:rPr>
                <w:rFonts w:hint="eastAsia" w:ascii="仿宋" w:hAnsi="仿宋" w:eastAsia="仿宋" w:cs="仿宋"/>
                <w:kern w:val="0"/>
                <w:szCs w:val="21"/>
                <w:lang w:val="en-US" w:eastAsia="zh-CN"/>
              </w:rPr>
              <w:t>同时附产品执行标准与对应强制性认证标准对照差异表。</w:t>
            </w:r>
            <w:r>
              <w:rPr>
                <w:rFonts w:hint="eastAsia" w:ascii="仿宋" w:hAnsi="仿宋" w:eastAsia="仿宋" w:cs="仿宋"/>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restart"/>
            <w:vAlign w:val="center"/>
          </w:tcPr>
          <w:p>
            <w:pPr>
              <w:spacing w:line="400" w:lineRule="exact"/>
              <w:jc w:val="center"/>
              <w:rPr>
                <w:rFonts w:ascii="仿宋" w:hAnsi="仿宋" w:eastAsia="仿宋" w:cs="仿宋"/>
                <w:szCs w:val="21"/>
              </w:rPr>
            </w:pPr>
            <w:r>
              <w:rPr>
                <w:rFonts w:hint="eastAsia" w:ascii="仿宋" w:hAnsi="仿宋" w:eastAsia="仿宋" w:cs="仿宋"/>
                <w:szCs w:val="21"/>
              </w:rPr>
              <w:t>3.1.6(2)</w:t>
            </w:r>
          </w:p>
        </w:tc>
        <w:tc>
          <w:tcPr>
            <w:tcW w:w="1483"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商务部分评分标准B（1</w:t>
            </w:r>
            <w:r>
              <w:rPr>
                <w:rFonts w:hint="eastAsia" w:ascii="仿宋" w:hAnsi="仿宋" w:eastAsia="仿宋" w:cs="仿宋"/>
                <w:szCs w:val="21"/>
                <w:lang w:val="en-US" w:eastAsia="zh-CN"/>
              </w:rPr>
              <w:t>0</w:t>
            </w:r>
            <w:r>
              <w:rPr>
                <w:rFonts w:hint="eastAsia" w:ascii="仿宋" w:hAnsi="仿宋" w:eastAsia="仿宋" w:cs="仿宋"/>
                <w:szCs w:val="21"/>
              </w:rPr>
              <w:t>分）</w:t>
            </w:r>
          </w:p>
        </w:tc>
        <w:tc>
          <w:tcPr>
            <w:tcW w:w="1217" w:type="dxa"/>
            <w:gridSpan w:val="2"/>
            <w:vMerge w:val="restart"/>
            <w:tcBorders>
              <w:right w:val="single" w:color="auto" w:sz="4" w:space="0"/>
            </w:tcBorders>
            <w:vAlign w:val="center"/>
          </w:tcPr>
          <w:p>
            <w:pPr>
              <w:tabs>
                <w:tab w:val="left" w:pos="2300"/>
              </w:tabs>
              <w:autoSpaceDE w:val="0"/>
              <w:autoSpaceDN w:val="0"/>
              <w:adjustRightInd w:val="0"/>
              <w:rPr>
                <w:rFonts w:ascii="仿宋" w:hAnsi="仿宋" w:eastAsia="仿宋" w:cs="仿宋"/>
                <w:b/>
                <w:bCs/>
                <w:kern w:val="0"/>
                <w:szCs w:val="21"/>
              </w:rPr>
            </w:pPr>
            <w:r>
              <w:rPr>
                <w:rFonts w:hint="eastAsia" w:ascii="仿宋" w:hAnsi="仿宋" w:eastAsia="仿宋" w:cs="仿宋"/>
                <w:szCs w:val="21"/>
              </w:rPr>
              <w:t>企业实力（1</w:t>
            </w:r>
            <w:r>
              <w:rPr>
                <w:rFonts w:hint="eastAsia" w:ascii="仿宋" w:hAnsi="仿宋" w:eastAsia="仿宋" w:cs="仿宋"/>
                <w:szCs w:val="21"/>
                <w:lang w:val="en-US" w:eastAsia="zh-CN"/>
              </w:rPr>
              <w:t>0</w:t>
            </w:r>
            <w:r>
              <w:rPr>
                <w:rFonts w:hint="eastAsia" w:ascii="仿宋" w:hAnsi="仿宋" w:eastAsia="仿宋" w:cs="仿宋"/>
                <w:szCs w:val="21"/>
              </w:rPr>
              <w:t>分）</w:t>
            </w:r>
          </w:p>
        </w:tc>
        <w:tc>
          <w:tcPr>
            <w:tcW w:w="768"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kern w:val="0"/>
                <w:szCs w:val="21"/>
              </w:rPr>
            </w:pPr>
            <w:r>
              <w:rPr>
                <w:rFonts w:ascii="仿宋" w:hAnsi="仿宋" w:eastAsia="仿宋" w:cs="仿宋"/>
                <w:kern w:val="0"/>
                <w:szCs w:val="21"/>
              </w:rPr>
              <w:t>2</w:t>
            </w:r>
            <w:r>
              <w:rPr>
                <w:rFonts w:hint="eastAsia" w:ascii="仿宋" w:hAnsi="仿宋" w:eastAsia="仿宋" w:cs="仿宋"/>
                <w:kern w:val="0"/>
                <w:szCs w:val="21"/>
              </w:rPr>
              <w:t>.0分</w:t>
            </w:r>
          </w:p>
        </w:tc>
        <w:tc>
          <w:tcPr>
            <w:tcW w:w="5351" w:type="dxa"/>
            <w:tcBorders>
              <w:left w:val="single" w:color="auto" w:sz="4" w:space="0"/>
              <w:bottom w:val="single" w:color="auto" w:sz="4" w:space="0"/>
            </w:tcBorders>
            <w:vAlign w:val="center"/>
          </w:tcPr>
          <w:p>
            <w:pPr>
              <w:pStyle w:val="32"/>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按</w:t>
            </w:r>
            <w:r>
              <w:rPr>
                <w:rFonts w:hint="eastAsia" w:ascii="仿宋" w:hAnsi="仿宋" w:eastAsia="仿宋" w:cs="仿宋"/>
                <w:color w:val="auto"/>
                <w:kern w:val="2"/>
                <w:sz w:val="21"/>
                <w:szCs w:val="21"/>
                <w:lang w:eastAsia="zh-CN"/>
              </w:rPr>
              <w:t>比选</w:t>
            </w:r>
            <w:r>
              <w:rPr>
                <w:rFonts w:hint="eastAsia" w:ascii="仿宋" w:hAnsi="仿宋" w:eastAsia="仿宋" w:cs="仿宋"/>
                <w:color w:val="auto"/>
                <w:kern w:val="2"/>
                <w:sz w:val="21"/>
                <w:szCs w:val="21"/>
              </w:rPr>
              <w:t>文件要求提供相关证书和文件及附件的得：</w:t>
            </w:r>
            <w:r>
              <w:rPr>
                <w:rFonts w:hint="eastAsia" w:ascii="仿宋" w:hAnsi="仿宋" w:eastAsia="仿宋" w:cs="仿宋"/>
                <w:color w:val="auto"/>
                <w:kern w:val="2"/>
                <w:sz w:val="21"/>
                <w:szCs w:val="21"/>
                <w:lang w:val="en-US" w:eastAsia="zh-CN"/>
              </w:rPr>
              <w:t>2</w:t>
            </w:r>
            <w:r>
              <w:rPr>
                <w:rFonts w:hint="eastAsia" w:ascii="仿宋" w:hAnsi="仿宋" w:eastAsia="仿宋" w:cs="仿宋"/>
                <w:color w:val="auto"/>
                <w:kern w:val="2"/>
                <w:sz w:val="21"/>
                <w:szCs w:val="21"/>
              </w:rPr>
              <w:t>.0分。（需提供证书复印件（原件备查）和法人授权书原件，并加盖</w:t>
            </w:r>
            <w:r>
              <w:rPr>
                <w:rFonts w:hint="eastAsia" w:ascii="仿宋" w:hAnsi="仿宋" w:eastAsia="仿宋" w:cs="仿宋"/>
                <w:color w:val="auto"/>
                <w:kern w:val="2"/>
                <w:sz w:val="21"/>
                <w:szCs w:val="21"/>
                <w:lang w:eastAsia="zh-CN"/>
              </w:rPr>
              <w:t>响应</w:t>
            </w:r>
            <w:r>
              <w:rPr>
                <w:rFonts w:hint="eastAsia" w:ascii="仿宋" w:hAnsi="仿宋" w:eastAsia="仿宋" w:cs="仿宋"/>
                <w:color w:val="auto"/>
                <w:kern w:val="2"/>
                <w:sz w:val="21"/>
                <w:szCs w:val="21"/>
              </w:rPr>
              <w:t>人鲜章。）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continue"/>
            <w:vAlign w:val="center"/>
          </w:tcPr>
          <w:p>
            <w:pPr>
              <w:spacing w:line="400" w:lineRule="exact"/>
              <w:jc w:val="center"/>
              <w:rPr>
                <w:rFonts w:ascii="仿宋" w:hAnsi="仿宋" w:eastAsia="仿宋" w:cs="仿宋"/>
                <w:szCs w:val="21"/>
              </w:rPr>
            </w:pPr>
          </w:p>
        </w:tc>
        <w:tc>
          <w:tcPr>
            <w:tcW w:w="1483" w:type="dxa"/>
            <w:gridSpan w:val="3"/>
            <w:vMerge w:val="continue"/>
            <w:vAlign w:val="center"/>
          </w:tcPr>
          <w:p>
            <w:pPr>
              <w:jc w:val="center"/>
              <w:rPr>
                <w:rFonts w:ascii="仿宋" w:hAnsi="仿宋" w:eastAsia="仿宋" w:cs="仿宋"/>
                <w:szCs w:val="21"/>
              </w:rPr>
            </w:pPr>
          </w:p>
        </w:tc>
        <w:tc>
          <w:tcPr>
            <w:tcW w:w="1217" w:type="dxa"/>
            <w:gridSpan w:val="2"/>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kern w:val="0"/>
                <w:szCs w:val="21"/>
              </w:rPr>
            </w:pPr>
          </w:p>
        </w:tc>
        <w:tc>
          <w:tcPr>
            <w:tcW w:w="768"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kern w:val="0"/>
                <w:szCs w:val="21"/>
              </w:rPr>
            </w:pPr>
            <w:r>
              <w:rPr>
                <w:rFonts w:ascii="仿宋" w:hAnsi="仿宋" w:eastAsia="仿宋" w:cs="仿宋"/>
                <w:kern w:val="0"/>
                <w:szCs w:val="21"/>
              </w:rPr>
              <w:t>3</w:t>
            </w:r>
            <w:r>
              <w:rPr>
                <w:rFonts w:hint="eastAsia" w:ascii="仿宋" w:hAnsi="仿宋" w:eastAsia="仿宋" w:cs="仿宋"/>
                <w:kern w:val="0"/>
                <w:szCs w:val="21"/>
              </w:rPr>
              <w:t>.0分</w:t>
            </w:r>
          </w:p>
        </w:tc>
        <w:tc>
          <w:tcPr>
            <w:tcW w:w="5351" w:type="dxa"/>
            <w:tcBorders>
              <w:left w:val="single" w:color="auto" w:sz="4" w:space="0"/>
              <w:bottom w:val="single" w:color="auto" w:sz="4" w:space="0"/>
            </w:tcBorders>
            <w:vAlign w:val="center"/>
          </w:tcPr>
          <w:p>
            <w:pPr>
              <w:pStyle w:val="32"/>
              <w:jc w:val="both"/>
              <w:rPr>
                <w:rFonts w:ascii="仿宋" w:hAnsi="仿宋" w:eastAsia="仿宋" w:cs="仿宋"/>
                <w:color w:val="auto"/>
                <w:kern w:val="2"/>
                <w:sz w:val="21"/>
                <w:szCs w:val="21"/>
              </w:rPr>
            </w:pPr>
            <w:r>
              <w:rPr>
                <w:rFonts w:hint="eastAsia" w:ascii="仿宋" w:hAnsi="仿宋" w:eastAsia="仿宋" w:cs="仿宋"/>
                <w:color w:val="auto"/>
                <w:kern w:val="2"/>
                <w:sz w:val="21"/>
                <w:szCs w:val="21"/>
                <w:lang w:eastAsia="zh-CN"/>
              </w:rPr>
              <w:t>响应</w:t>
            </w:r>
            <w:r>
              <w:rPr>
                <w:rFonts w:hint="eastAsia" w:ascii="仿宋" w:hAnsi="仿宋" w:eastAsia="仿宋" w:cs="仿宋"/>
                <w:color w:val="auto"/>
                <w:kern w:val="2"/>
                <w:sz w:val="21"/>
                <w:szCs w:val="21"/>
              </w:rPr>
              <w:t>人具有质量管理体系认证证书的得：</w:t>
            </w: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rPr>
              <w:t>.0分；若为代理商可提供生产商质量管理体系认证证书。不能提供者得0分。（提供复印件，原件备查）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Merge w:val="continue"/>
            <w:vAlign w:val="center"/>
          </w:tcPr>
          <w:p>
            <w:pPr>
              <w:spacing w:line="400" w:lineRule="exact"/>
              <w:jc w:val="center"/>
              <w:rPr>
                <w:rFonts w:ascii="仿宋" w:hAnsi="仿宋" w:eastAsia="仿宋" w:cs="仿宋"/>
                <w:szCs w:val="21"/>
              </w:rPr>
            </w:pPr>
          </w:p>
        </w:tc>
        <w:tc>
          <w:tcPr>
            <w:tcW w:w="1483" w:type="dxa"/>
            <w:gridSpan w:val="3"/>
            <w:vMerge w:val="continue"/>
            <w:vAlign w:val="center"/>
          </w:tcPr>
          <w:p>
            <w:pPr>
              <w:jc w:val="center"/>
              <w:rPr>
                <w:rFonts w:ascii="仿宋" w:hAnsi="仿宋" w:eastAsia="仿宋" w:cs="仿宋"/>
                <w:szCs w:val="21"/>
              </w:rPr>
            </w:pPr>
          </w:p>
        </w:tc>
        <w:tc>
          <w:tcPr>
            <w:tcW w:w="1217" w:type="dxa"/>
            <w:gridSpan w:val="2"/>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szCs w:val="21"/>
              </w:rPr>
            </w:pPr>
          </w:p>
        </w:tc>
        <w:tc>
          <w:tcPr>
            <w:tcW w:w="768"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Cs w:val="21"/>
              </w:rPr>
            </w:pPr>
            <w:r>
              <w:rPr>
                <w:rFonts w:hint="eastAsia" w:ascii="仿宋" w:hAnsi="仿宋" w:eastAsia="仿宋" w:cs="仿宋"/>
                <w:kern w:val="0"/>
                <w:szCs w:val="21"/>
              </w:rPr>
              <w:t>5.0分</w:t>
            </w:r>
          </w:p>
        </w:tc>
        <w:tc>
          <w:tcPr>
            <w:tcW w:w="5351" w:type="dxa"/>
            <w:tcBorders>
              <w:left w:val="single" w:color="auto" w:sz="4" w:space="0"/>
              <w:bottom w:val="single" w:color="auto" w:sz="4" w:space="0"/>
            </w:tcBorders>
            <w:vAlign w:val="center"/>
          </w:tcPr>
          <w:p>
            <w:pPr>
              <w:numPr>
                <w:ilvl w:val="255"/>
                <w:numId w:val="0"/>
              </w:numP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人能提供2016年1月1日至今，消防器材类50万以上采购合同三个以上（含三个）的得：5.0分。两个的得3.0分。一个的得1.0分。不能提供得0分。（提供复印件，原件备查。）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400" w:lineRule="exact"/>
              <w:jc w:val="center"/>
              <w:rPr>
                <w:rFonts w:ascii="仿宋" w:hAnsi="仿宋" w:eastAsia="仿宋" w:cs="仿宋"/>
                <w:szCs w:val="21"/>
              </w:rPr>
            </w:pPr>
            <w:r>
              <w:rPr>
                <w:rFonts w:hint="eastAsia" w:ascii="仿宋" w:hAnsi="仿宋" w:eastAsia="仿宋" w:cs="仿宋"/>
                <w:szCs w:val="21"/>
              </w:rPr>
              <w:t>3.1.6(3)</w:t>
            </w:r>
          </w:p>
        </w:tc>
        <w:tc>
          <w:tcPr>
            <w:tcW w:w="1483" w:type="dxa"/>
            <w:gridSpan w:val="3"/>
            <w:vAlign w:val="center"/>
          </w:tcPr>
          <w:p>
            <w:pPr>
              <w:jc w:val="center"/>
              <w:rPr>
                <w:rFonts w:ascii="仿宋" w:hAnsi="仿宋" w:eastAsia="仿宋" w:cs="仿宋"/>
                <w:szCs w:val="21"/>
              </w:rPr>
            </w:pPr>
            <w:r>
              <w:rPr>
                <w:rFonts w:hint="eastAsia" w:ascii="仿宋" w:hAnsi="仿宋" w:eastAsia="仿宋" w:cs="仿宋"/>
                <w:szCs w:val="21"/>
              </w:rPr>
              <w:t>售后部分评分标准C（5分）</w:t>
            </w:r>
          </w:p>
        </w:tc>
        <w:tc>
          <w:tcPr>
            <w:tcW w:w="1217" w:type="dxa"/>
            <w:gridSpan w:val="2"/>
            <w:tcBorders>
              <w:right w:val="single" w:color="auto" w:sz="4" w:space="0"/>
            </w:tcBorders>
            <w:vAlign w:val="center"/>
          </w:tcPr>
          <w:p>
            <w:pPr>
              <w:tabs>
                <w:tab w:val="left" w:pos="2300"/>
              </w:tabs>
              <w:autoSpaceDE w:val="0"/>
              <w:autoSpaceDN w:val="0"/>
              <w:adjustRightInd w:val="0"/>
              <w:jc w:val="center"/>
              <w:rPr>
                <w:rFonts w:ascii="仿宋" w:hAnsi="仿宋" w:eastAsia="仿宋" w:cs="仿宋"/>
                <w:kern w:val="0"/>
                <w:szCs w:val="21"/>
              </w:rPr>
            </w:pPr>
            <w:r>
              <w:rPr>
                <w:rFonts w:hint="eastAsia" w:ascii="仿宋" w:hAnsi="仿宋" w:eastAsia="仿宋" w:cs="仿宋"/>
                <w:kern w:val="0"/>
                <w:szCs w:val="21"/>
              </w:rPr>
              <w:t>售后能力</w:t>
            </w:r>
          </w:p>
          <w:p>
            <w:pPr>
              <w:tabs>
                <w:tab w:val="left" w:pos="2300"/>
              </w:tabs>
              <w:autoSpaceDE w:val="0"/>
              <w:autoSpaceDN w:val="0"/>
              <w:adjustRightInd w:val="0"/>
              <w:jc w:val="center"/>
              <w:rPr>
                <w:rFonts w:ascii="仿宋" w:hAnsi="仿宋" w:eastAsia="仿宋" w:cs="仿宋"/>
                <w:kern w:val="0"/>
                <w:szCs w:val="21"/>
              </w:rPr>
            </w:pPr>
            <w:r>
              <w:rPr>
                <w:rFonts w:hint="eastAsia" w:ascii="仿宋" w:hAnsi="仿宋" w:eastAsia="仿宋" w:cs="仿宋"/>
                <w:kern w:val="0"/>
                <w:szCs w:val="21"/>
              </w:rPr>
              <w:t>（5分）</w:t>
            </w:r>
          </w:p>
        </w:tc>
        <w:tc>
          <w:tcPr>
            <w:tcW w:w="768" w:type="dxa"/>
            <w:tcBorders>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5分</w:t>
            </w:r>
          </w:p>
        </w:tc>
        <w:tc>
          <w:tcPr>
            <w:tcW w:w="5351" w:type="dxa"/>
            <w:tcBorders>
              <w:left w:val="single" w:color="auto" w:sz="4" w:space="0"/>
              <w:bottom w:val="single" w:color="auto" w:sz="4" w:space="0"/>
            </w:tcBorders>
            <w:vAlign w:val="center"/>
          </w:tcPr>
          <w:p>
            <w:pPr>
              <w:rPr>
                <w:rFonts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人书面承诺售后服务响应时间不超过24小时（从收到售后信息至人员到场）的得：5分。响应时间每增加12小时扣1分，5分扣完为止。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400" w:lineRule="exact"/>
              <w:jc w:val="center"/>
              <w:rPr>
                <w:rFonts w:ascii="仿宋" w:hAnsi="仿宋" w:eastAsia="仿宋" w:cs="仿宋"/>
                <w:szCs w:val="21"/>
              </w:rPr>
            </w:pPr>
            <w:r>
              <w:rPr>
                <w:rFonts w:hint="eastAsia" w:ascii="仿宋" w:hAnsi="仿宋" w:eastAsia="仿宋" w:cs="仿宋"/>
                <w:szCs w:val="21"/>
              </w:rPr>
              <w:t>3.1.6(4)</w:t>
            </w:r>
          </w:p>
        </w:tc>
        <w:tc>
          <w:tcPr>
            <w:tcW w:w="1483" w:type="dxa"/>
            <w:gridSpan w:val="3"/>
            <w:tcBorders>
              <w:right w:val="single" w:color="auto" w:sz="4" w:space="0"/>
            </w:tcBorders>
            <w:vAlign w:val="center"/>
          </w:tcPr>
          <w:p>
            <w:pPr>
              <w:spacing w:line="440" w:lineRule="exact"/>
              <w:jc w:val="center"/>
              <w:rPr>
                <w:rFonts w:ascii="仿宋" w:hAnsi="仿宋" w:eastAsia="仿宋" w:cs="仿宋"/>
                <w:szCs w:val="21"/>
              </w:rPr>
            </w:pPr>
            <w:r>
              <w:rPr>
                <w:rFonts w:hint="eastAsia" w:ascii="仿宋" w:hAnsi="仿宋" w:eastAsia="仿宋" w:cs="仿宋"/>
                <w:szCs w:val="21"/>
              </w:rPr>
              <w:t>报价评分标准D（60分）</w:t>
            </w:r>
          </w:p>
        </w:tc>
        <w:tc>
          <w:tcPr>
            <w:tcW w:w="1217" w:type="dxa"/>
            <w:gridSpan w:val="2"/>
            <w:tcBorders>
              <w:right w:val="single" w:color="auto" w:sz="4" w:space="0"/>
            </w:tcBorders>
            <w:vAlign w:val="center"/>
          </w:tcPr>
          <w:p>
            <w:pPr>
              <w:pStyle w:val="31"/>
              <w:rPr>
                <w:rFonts w:ascii="仿宋" w:hAnsi="仿宋" w:eastAsia="仿宋" w:cs="仿宋"/>
                <w:kern w:val="0"/>
              </w:rPr>
            </w:pPr>
            <w:r>
              <w:rPr>
                <w:rFonts w:hint="eastAsia" w:ascii="仿宋" w:hAnsi="仿宋" w:eastAsia="仿宋" w:cs="仿宋"/>
              </w:rPr>
              <w:t>总报价</w:t>
            </w:r>
          </w:p>
        </w:tc>
        <w:tc>
          <w:tcPr>
            <w:tcW w:w="768" w:type="dxa"/>
            <w:tcBorders>
              <w:left w:val="single" w:color="auto" w:sz="4" w:space="0"/>
            </w:tcBorders>
          </w:tcPr>
          <w:p>
            <w:pPr>
              <w:rPr>
                <w:rFonts w:ascii="仿宋" w:hAnsi="仿宋" w:eastAsia="仿宋" w:cs="仿宋"/>
                <w:kern w:val="0"/>
                <w:szCs w:val="21"/>
              </w:rPr>
            </w:pPr>
          </w:p>
        </w:tc>
        <w:tc>
          <w:tcPr>
            <w:tcW w:w="5351" w:type="dxa"/>
            <w:tcBorders>
              <w:left w:val="single" w:color="auto" w:sz="4" w:space="0"/>
              <w:bottom w:val="single" w:color="auto" w:sz="4" w:space="0"/>
            </w:tcBorders>
            <w:vAlign w:val="center"/>
          </w:tcPr>
          <w:p>
            <w:pPr>
              <w:rPr>
                <w:rFonts w:ascii="仿宋" w:hAnsi="仿宋" w:eastAsia="仿宋" w:cs="仿宋"/>
                <w:szCs w:val="21"/>
              </w:rPr>
            </w:pPr>
            <w:r>
              <w:rPr>
                <w:rFonts w:hint="eastAsia" w:ascii="仿宋" w:hAnsi="仿宋" w:eastAsia="仿宋" w:cs="仿宋"/>
                <w:szCs w:val="21"/>
              </w:rPr>
              <w:t>所有通过初步评审合格</w:t>
            </w:r>
            <w:r>
              <w:rPr>
                <w:rFonts w:hint="eastAsia" w:ascii="仿宋" w:hAnsi="仿宋" w:eastAsia="仿宋" w:cs="仿宋"/>
                <w:szCs w:val="21"/>
                <w:lang w:eastAsia="zh-CN"/>
              </w:rPr>
              <w:t>响应</w:t>
            </w:r>
            <w:r>
              <w:rPr>
                <w:rFonts w:hint="eastAsia" w:ascii="仿宋" w:hAnsi="仿宋" w:eastAsia="仿宋" w:cs="仿宋"/>
                <w:szCs w:val="21"/>
              </w:rPr>
              <w:t>人的</w:t>
            </w:r>
            <w:r>
              <w:rPr>
                <w:rFonts w:hint="eastAsia" w:ascii="仿宋" w:hAnsi="仿宋" w:eastAsia="仿宋" w:cs="仿宋"/>
                <w:szCs w:val="21"/>
                <w:lang w:eastAsia="zh-CN"/>
              </w:rPr>
              <w:t>响应</w:t>
            </w:r>
            <w:r>
              <w:rPr>
                <w:rFonts w:hint="eastAsia" w:ascii="仿宋" w:hAnsi="仿宋" w:eastAsia="仿宋" w:cs="仿宋"/>
                <w:szCs w:val="21"/>
              </w:rPr>
              <w:t>总报价与</w:t>
            </w:r>
            <w:r>
              <w:rPr>
                <w:rFonts w:hint="eastAsia" w:ascii="仿宋" w:hAnsi="仿宋" w:eastAsia="仿宋" w:cs="仿宋"/>
                <w:szCs w:val="21"/>
                <w:lang w:eastAsia="zh-CN"/>
              </w:rPr>
              <w:t>评审</w:t>
            </w:r>
            <w:r>
              <w:rPr>
                <w:rFonts w:hint="eastAsia" w:ascii="仿宋" w:hAnsi="仿宋" w:eastAsia="仿宋" w:cs="仿宋"/>
                <w:szCs w:val="21"/>
              </w:rPr>
              <w:t>基准价相比，每减少1%扣0.5分，每增加1%扣1分，扣完为止。通过初步评审而未参与</w:t>
            </w:r>
            <w:r>
              <w:rPr>
                <w:rFonts w:hint="eastAsia" w:ascii="仿宋" w:hAnsi="仿宋" w:eastAsia="仿宋" w:cs="仿宋"/>
                <w:szCs w:val="21"/>
                <w:lang w:eastAsia="zh-CN"/>
              </w:rPr>
              <w:t>评审</w:t>
            </w:r>
            <w:r>
              <w:rPr>
                <w:rFonts w:hint="eastAsia" w:ascii="仿宋" w:hAnsi="仿宋" w:eastAsia="仿宋" w:cs="仿宋"/>
                <w:szCs w:val="21"/>
              </w:rPr>
              <w:t>基准价计算的报价，仍应参加计算相应分值。</w:t>
            </w:r>
          </w:p>
          <w:p>
            <w:pPr>
              <w:rPr>
                <w:rFonts w:ascii="仿宋" w:hAnsi="仿宋" w:eastAsia="仿宋" w:cs="仿宋"/>
                <w:szCs w:val="21"/>
              </w:rPr>
            </w:pPr>
            <w:r>
              <w:rPr>
                <w:rFonts w:hint="eastAsia" w:ascii="仿宋" w:hAnsi="仿宋" w:eastAsia="仿宋" w:cs="仿宋"/>
                <w:szCs w:val="21"/>
              </w:rPr>
              <w:t>按插入法计算，计算结果四舍五入保留小数点后二位。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spacing w:line="400" w:lineRule="exact"/>
              <w:jc w:val="center"/>
              <w:rPr>
                <w:rFonts w:ascii="仿宋" w:hAnsi="仿宋" w:eastAsia="仿宋" w:cs="仿宋"/>
                <w:szCs w:val="21"/>
              </w:rPr>
            </w:pPr>
            <w:r>
              <w:rPr>
                <w:rFonts w:hint="eastAsia" w:ascii="仿宋" w:hAnsi="仿宋" w:eastAsia="仿宋" w:cs="仿宋"/>
                <w:szCs w:val="21"/>
              </w:rPr>
              <w:t>3.1.7</w:t>
            </w:r>
          </w:p>
        </w:tc>
        <w:tc>
          <w:tcPr>
            <w:tcW w:w="1483" w:type="dxa"/>
            <w:gridSpan w:val="3"/>
            <w:tcBorders>
              <w:right w:val="single" w:color="auto" w:sz="4" w:space="0"/>
            </w:tcBorders>
            <w:vAlign w:val="center"/>
          </w:tcPr>
          <w:p>
            <w:pPr>
              <w:adjustRightInd w:val="0"/>
              <w:snapToGrid w:val="0"/>
              <w:spacing w:before="62" w:beforeLines="20" w:line="300" w:lineRule="auto"/>
              <w:jc w:val="center"/>
              <w:rPr>
                <w:rFonts w:ascii="仿宋" w:hAnsi="仿宋" w:eastAsia="仿宋" w:cs="仿宋"/>
                <w:szCs w:val="21"/>
              </w:rPr>
            </w:pPr>
            <w:r>
              <w:rPr>
                <w:rFonts w:hint="eastAsia" w:ascii="仿宋" w:hAnsi="仿宋" w:eastAsia="仿宋" w:cs="仿宋"/>
                <w:lang w:eastAsia="zh-CN"/>
              </w:rPr>
              <w:t>评审</w:t>
            </w:r>
            <w:r>
              <w:rPr>
                <w:rFonts w:hint="eastAsia" w:ascii="仿宋" w:hAnsi="仿宋" w:eastAsia="仿宋" w:cs="仿宋"/>
              </w:rPr>
              <w:t>程序</w:t>
            </w:r>
          </w:p>
        </w:tc>
        <w:tc>
          <w:tcPr>
            <w:tcW w:w="1217" w:type="dxa"/>
            <w:gridSpan w:val="2"/>
            <w:vAlign w:val="center"/>
          </w:tcPr>
          <w:p>
            <w:pPr>
              <w:adjustRightInd w:val="0"/>
              <w:snapToGrid w:val="0"/>
              <w:rPr>
                <w:rFonts w:ascii="仿宋" w:hAnsi="仿宋" w:eastAsia="仿宋" w:cs="仿宋"/>
              </w:rPr>
            </w:pPr>
          </w:p>
        </w:tc>
        <w:tc>
          <w:tcPr>
            <w:tcW w:w="6119" w:type="dxa"/>
            <w:gridSpan w:val="2"/>
            <w:tcBorders>
              <w:left w:val="single" w:color="auto" w:sz="4" w:space="0"/>
            </w:tcBorders>
          </w:tcPr>
          <w:p>
            <w:pPr>
              <w:adjustRightInd w:val="0"/>
              <w:snapToGrid w:val="0"/>
              <w:rPr>
                <w:rFonts w:ascii="仿宋" w:hAnsi="仿宋" w:eastAsia="仿宋" w:cs="仿宋"/>
                <w:szCs w:val="21"/>
              </w:rPr>
            </w:pPr>
            <w:r>
              <w:rPr>
                <w:rFonts w:hint="eastAsia" w:ascii="仿宋" w:hAnsi="仿宋" w:eastAsia="仿宋" w:cs="仿宋"/>
                <w:szCs w:val="21"/>
              </w:rPr>
              <w:t>1.初步评审前，</w:t>
            </w:r>
            <w:r>
              <w:rPr>
                <w:rFonts w:hint="eastAsia" w:ascii="仿宋" w:hAnsi="仿宋" w:eastAsia="仿宋" w:cs="仿宋"/>
                <w:kern w:val="0"/>
                <w:szCs w:val="21"/>
              </w:rPr>
              <w:t>对报价有算术性错误的进行算术性错误修正.只对</w:t>
            </w:r>
            <w:r>
              <w:rPr>
                <w:rFonts w:hint="eastAsia" w:ascii="仿宋" w:hAnsi="仿宋" w:eastAsia="仿宋" w:cs="仿宋"/>
                <w:szCs w:val="21"/>
              </w:rPr>
              <w:t>经修正后的不高于最高限价的</w:t>
            </w:r>
            <w:r>
              <w:rPr>
                <w:rFonts w:hint="eastAsia" w:ascii="仿宋" w:hAnsi="仿宋" w:eastAsia="仿宋" w:cs="仿宋"/>
                <w:szCs w:val="21"/>
                <w:lang w:eastAsia="zh-CN"/>
              </w:rPr>
              <w:t>响应</w:t>
            </w:r>
            <w:r>
              <w:rPr>
                <w:rFonts w:hint="eastAsia" w:ascii="仿宋" w:hAnsi="仿宋" w:eastAsia="仿宋" w:cs="仿宋"/>
                <w:szCs w:val="21"/>
              </w:rPr>
              <w:t>进行初步评审（形式、资格、响应评审）.</w:t>
            </w:r>
          </w:p>
          <w:p>
            <w:pPr>
              <w:adjustRightInd w:val="0"/>
              <w:snapToGrid w:val="0"/>
              <w:rPr>
                <w:rFonts w:ascii="仿宋" w:hAnsi="仿宋" w:eastAsia="仿宋" w:cs="仿宋"/>
                <w:szCs w:val="21"/>
              </w:rPr>
            </w:pPr>
            <w:r>
              <w:rPr>
                <w:rFonts w:hint="eastAsia" w:ascii="仿宋" w:hAnsi="仿宋" w:eastAsia="仿宋" w:cs="仿宋"/>
                <w:szCs w:val="21"/>
              </w:rPr>
              <w:t>2. 初步评审合格的才进行商务、技术、价格的评分。</w:t>
            </w:r>
          </w:p>
          <w:p>
            <w:pPr>
              <w:rPr>
                <w:rFonts w:ascii="仿宋" w:hAnsi="仿宋" w:eastAsia="仿宋" w:cs="仿宋"/>
              </w:rPr>
            </w:pPr>
            <w:r>
              <w:rPr>
                <w:rFonts w:hint="eastAsia" w:ascii="仿宋" w:hAnsi="仿宋" w:eastAsia="仿宋" w:cs="仿宋"/>
                <w:szCs w:val="21"/>
              </w:rPr>
              <w:t>3.根据得分由高至低进行排序，推荐1-3家合格的</w:t>
            </w:r>
            <w:r>
              <w:rPr>
                <w:rFonts w:hint="eastAsia" w:ascii="仿宋" w:hAnsi="仿宋" w:eastAsia="仿宋" w:cs="仿宋"/>
                <w:szCs w:val="21"/>
                <w:lang w:eastAsia="zh-CN"/>
              </w:rPr>
              <w:t>成交</w:t>
            </w:r>
            <w:r>
              <w:rPr>
                <w:rFonts w:hint="eastAsia" w:ascii="仿宋" w:hAnsi="仿宋" w:eastAsia="仿宋" w:cs="仿宋"/>
                <w:szCs w:val="21"/>
              </w:rPr>
              <w:t>候选人。并依次为第一、二、三</w:t>
            </w:r>
            <w:r>
              <w:rPr>
                <w:rFonts w:hint="eastAsia" w:ascii="仿宋" w:hAnsi="仿宋" w:eastAsia="仿宋" w:cs="仿宋"/>
                <w:szCs w:val="21"/>
                <w:lang w:eastAsia="zh-CN"/>
              </w:rPr>
              <w:t>成交</w:t>
            </w:r>
            <w:r>
              <w:rPr>
                <w:rFonts w:hint="eastAsia" w:ascii="仿宋" w:hAnsi="仿宋" w:eastAsia="仿宋" w:cs="仿宋"/>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gridSpan w:val="2"/>
            <w:vAlign w:val="center"/>
          </w:tcPr>
          <w:p>
            <w:pPr>
              <w:ind w:firstLine="18" w:firstLineChars="9"/>
              <w:jc w:val="center"/>
              <w:rPr>
                <w:rFonts w:ascii="仿宋" w:hAnsi="仿宋" w:eastAsia="仿宋" w:cs="仿宋"/>
                <w:szCs w:val="21"/>
              </w:rPr>
            </w:pPr>
            <w:r>
              <w:rPr>
                <w:rFonts w:hint="eastAsia" w:ascii="仿宋" w:hAnsi="仿宋" w:eastAsia="仿宋" w:cs="仿宋"/>
                <w:szCs w:val="21"/>
              </w:rPr>
              <w:t>3.1.8</w:t>
            </w:r>
          </w:p>
        </w:tc>
        <w:tc>
          <w:tcPr>
            <w:tcW w:w="1483" w:type="dxa"/>
            <w:gridSpan w:val="3"/>
            <w:tcBorders>
              <w:right w:val="single" w:color="auto" w:sz="4" w:space="0"/>
            </w:tcBorders>
            <w:vAlign w:val="center"/>
          </w:tcPr>
          <w:p>
            <w:pPr>
              <w:ind w:firstLine="18" w:firstLineChars="9"/>
              <w:jc w:val="center"/>
              <w:rPr>
                <w:rFonts w:ascii="仿宋" w:hAnsi="仿宋" w:eastAsia="仿宋" w:cs="仿宋"/>
                <w:kern w:val="0"/>
              </w:rPr>
            </w:pPr>
            <w:r>
              <w:rPr>
                <w:rFonts w:hint="eastAsia" w:ascii="仿宋" w:hAnsi="仿宋" w:eastAsia="仿宋" w:cs="仿宋"/>
                <w:lang w:eastAsia="zh-CN"/>
              </w:rPr>
              <w:t>响应</w:t>
            </w:r>
            <w:r>
              <w:rPr>
                <w:rFonts w:hint="eastAsia" w:ascii="仿宋" w:hAnsi="仿宋" w:eastAsia="仿宋" w:cs="仿宋"/>
              </w:rPr>
              <w:t>人得分</w:t>
            </w:r>
          </w:p>
        </w:tc>
        <w:tc>
          <w:tcPr>
            <w:tcW w:w="7336" w:type="dxa"/>
            <w:gridSpan w:val="4"/>
          </w:tcPr>
          <w:p>
            <w:pPr>
              <w:spacing w:line="360" w:lineRule="auto"/>
              <w:ind w:firstLine="18" w:firstLineChars="9"/>
              <w:jc w:val="center"/>
              <w:rPr>
                <w:rFonts w:ascii="仿宋" w:hAnsi="仿宋" w:eastAsia="仿宋" w:cs="仿宋"/>
                <w:kern w:val="0"/>
              </w:rPr>
            </w:pPr>
            <w:r>
              <w:rPr>
                <w:rFonts w:hint="eastAsia" w:ascii="仿宋" w:hAnsi="仿宋" w:eastAsia="仿宋" w:cs="仿宋"/>
                <w:lang w:eastAsia="zh-CN"/>
              </w:rPr>
              <w:t>响应</w:t>
            </w:r>
            <w:r>
              <w:rPr>
                <w:rFonts w:hint="eastAsia" w:ascii="仿宋" w:hAnsi="仿宋" w:eastAsia="仿宋" w:cs="仿宋"/>
              </w:rPr>
              <w:t>人得分=A+B+C+D</w:t>
            </w:r>
          </w:p>
        </w:tc>
      </w:tr>
    </w:tbl>
    <w:p>
      <w:pPr>
        <w:adjustRightInd w:val="0"/>
        <w:snapToGrid w:val="0"/>
        <w:spacing w:line="360" w:lineRule="auto"/>
        <w:rPr>
          <w:rFonts w:hint="eastAsia" w:ascii="仿宋" w:hAnsi="仿宋" w:eastAsia="仿宋"/>
          <w:b/>
          <w:color w:val="auto"/>
          <w:kern w:val="0"/>
          <w:sz w:val="28"/>
          <w:szCs w:val="28"/>
          <w:lang w:val="en-US" w:eastAsia="zh-CN"/>
        </w:rPr>
      </w:pPr>
      <w:r>
        <w:rPr>
          <w:rFonts w:hint="eastAsia" w:ascii="仿宋" w:hAnsi="仿宋" w:eastAsia="仿宋"/>
          <w:b/>
          <w:color w:val="auto"/>
          <w:kern w:val="0"/>
          <w:sz w:val="28"/>
          <w:szCs w:val="28"/>
          <w:lang w:val="en-US" w:eastAsia="zh-CN"/>
        </w:rPr>
        <w:t>3.2评审</w:t>
      </w:r>
      <w:r>
        <w:rPr>
          <w:rFonts w:hint="eastAsia" w:ascii="仿宋" w:hAnsi="仿宋" w:eastAsia="仿宋"/>
          <w:b/>
          <w:color w:val="auto"/>
          <w:kern w:val="0"/>
          <w:sz w:val="28"/>
          <w:szCs w:val="28"/>
        </w:rPr>
        <w:t>方法</w:t>
      </w:r>
      <w:r>
        <w:rPr>
          <w:rFonts w:hint="eastAsia" w:ascii="仿宋" w:hAnsi="仿宋" w:eastAsia="仿宋"/>
          <w:b/>
          <w:color w:val="auto"/>
          <w:kern w:val="0"/>
          <w:sz w:val="28"/>
          <w:szCs w:val="28"/>
          <w:lang w:val="en-US" w:eastAsia="zh-CN"/>
        </w:rPr>
        <w:t>及成交标准：</w:t>
      </w:r>
    </w:p>
    <w:p>
      <w:pPr>
        <w:adjustRightInd w:val="0"/>
        <w:snapToGrid w:val="0"/>
        <w:spacing w:line="360" w:lineRule="auto"/>
        <w:ind w:firstLine="570"/>
        <w:rPr>
          <w:rFonts w:hint="eastAsia" w:ascii="仿宋" w:hAnsi="仿宋" w:eastAsia="仿宋"/>
          <w:color w:val="auto"/>
          <w:sz w:val="28"/>
          <w:szCs w:val="28"/>
        </w:rPr>
      </w:pPr>
      <w:r>
        <w:rPr>
          <w:rFonts w:hint="eastAsia" w:ascii="仿宋" w:hAnsi="仿宋" w:eastAsia="仿宋"/>
          <w:color w:val="auto"/>
          <w:sz w:val="28"/>
          <w:szCs w:val="28"/>
          <w:lang w:val="en-US" w:eastAsia="zh-CN"/>
        </w:rPr>
        <w:t>3.2.1</w:t>
      </w:r>
      <w:r>
        <w:rPr>
          <w:rFonts w:hint="eastAsia" w:ascii="仿宋" w:hAnsi="仿宋" w:eastAsia="仿宋"/>
          <w:color w:val="auto"/>
          <w:sz w:val="28"/>
          <w:szCs w:val="28"/>
        </w:rPr>
        <w:t>本次</w:t>
      </w:r>
      <w:r>
        <w:rPr>
          <w:rFonts w:hint="eastAsia" w:ascii="仿宋" w:hAnsi="仿宋" w:eastAsia="仿宋"/>
          <w:color w:val="auto"/>
          <w:sz w:val="28"/>
          <w:szCs w:val="28"/>
          <w:lang w:eastAsia="zh-CN"/>
        </w:rPr>
        <w:t>评审</w:t>
      </w:r>
      <w:r>
        <w:rPr>
          <w:rFonts w:hint="eastAsia" w:ascii="仿宋" w:hAnsi="仿宋" w:eastAsia="仿宋"/>
          <w:color w:val="auto"/>
          <w:sz w:val="28"/>
          <w:szCs w:val="28"/>
        </w:rPr>
        <w:t>采用</w:t>
      </w:r>
      <w:r>
        <w:rPr>
          <w:rFonts w:hint="eastAsia" w:ascii="仿宋" w:hAnsi="仿宋" w:eastAsia="仿宋"/>
          <w:b/>
          <w:bCs/>
          <w:color w:val="auto"/>
          <w:sz w:val="28"/>
          <w:szCs w:val="28"/>
          <w:lang w:val="en-US" w:eastAsia="zh-CN"/>
        </w:rPr>
        <w:t>综合评分法</w:t>
      </w:r>
      <w:r>
        <w:rPr>
          <w:rFonts w:hint="eastAsia" w:ascii="仿宋" w:hAnsi="仿宋" w:eastAsia="仿宋"/>
          <w:color w:val="auto"/>
          <w:sz w:val="28"/>
          <w:szCs w:val="28"/>
        </w:rPr>
        <w:t>。</w:t>
      </w:r>
      <w:r>
        <w:rPr>
          <w:rFonts w:hint="eastAsia" w:ascii="仿宋" w:hAnsi="仿宋" w:eastAsia="仿宋"/>
          <w:color w:val="auto"/>
          <w:sz w:val="28"/>
          <w:szCs w:val="28"/>
          <w:lang w:eastAsia="zh-CN"/>
        </w:rPr>
        <w:t>评审</w:t>
      </w:r>
      <w:r>
        <w:rPr>
          <w:rFonts w:hint="eastAsia" w:ascii="仿宋" w:hAnsi="仿宋" w:eastAsia="仿宋"/>
          <w:color w:val="auto"/>
          <w:sz w:val="28"/>
          <w:szCs w:val="28"/>
        </w:rPr>
        <w:t>委员会对满足</w:t>
      </w:r>
      <w:r>
        <w:rPr>
          <w:rFonts w:hint="eastAsia" w:ascii="仿宋" w:hAnsi="仿宋" w:eastAsia="仿宋"/>
          <w:color w:val="auto"/>
          <w:sz w:val="28"/>
          <w:szCs w:val="28"/>
          <w:lang w:eastAsia="zh-CN"/>
        </w:rPr>
        <w:t>比选</w:t>
      </w:r>
      <w:r>
        <w:rPr>
          <w:rFonts w:hint="eastAsia" w:ascii="仿宋" w:hAnsi="仿宋" w:eastAsia="仿宋"/>
          <w:color w:val="auto"/>
          <w:sz w:val="28"/>
          <w:szCs w:val="28"/>
        </w:rPr>
        <w:t>文件实质性要求的</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按照《评审前附表》</w:t>
      </w:r>
      <w:r>
        <w:rPr>
          <w:rFonts w:hint="eastAsia" w:ascii="仿宋" w:hAnsi="仿宋" w:eastAsia="仿宋"/>
          <w:color w:val="auto"/>
          <w:sz w:val="28"/>
          <w:szCs w:val="28"/>
        </w:rPr>
        <w:t>规定的评分标准进行打分，并按得分由高到低顺序推荐</w:t>
      </w:r>
      <w:r>
        <w:rPr>
          <w:rFonts w:hint="eastAsia" w:ascii="仿宋" w:hAnsi="仿宋" w:eastAsia="仿宋"/>
          <w:color w:val="auto"/>
          <w:sz w:val="28"/>
          <w:szCs w:val="28"/>
          <w:lang w:eastAsia="zh-CN"/>
        </w:rPr>
        <w:t>成交</w:t>
      </w:r>
      <w:r>
        <w:rPr>
          <w:rFonts w:hint="eastAsia" w:ascii="仿宋" w:hAnsi="仿宋" w:eastAsia="仿宋"/>
          <w:color w:val="auto"/>
          <w:sz w:val="28"/>
          <w:szCs w:val="28"/>
        </w:rPr>
        <w:t>候选人，或根据</w:t>
      </w:r>
      <w:r>
        <w:rPr>
          <w:rFonts w:hint="eastAsia" w:ascii="仿宋" w:hAnsi="仿宋" w:eastAsia="仿宋"/>
          <w:color w:val="auto"/>
          <w:sz w:val="28"/>
          <w:szCs w:val="28"/>
          <w:lang w:eastAsia="zh-CN"/>
        </w:rPr>
        <w:t>比选</w:t>
      </w:r>
      <w:r>
        <w:rPr>
          <w:rFonts w:hint="eastAsia" w:ascii="仿宋" w:hAnsi="仿宋" w:eastAsia="仿宋"/>
          <w:color w:val="auto"/>
          <w:sz w:val="28"/>
          <w:szCs w:val="28"/>
        </w:rPr>
        <w:t>人授权直接确定</w:t>
      </w:r>
      <w:r>
        <w:rPr>
          <w:rFonts w:hint="eastAsia" w:ascii="仿宋" w:hAnsi="仿宋" w:eastAsia="仿宋"/>
          <w:color w:val="auto"/>
          <w:sz w:val="28"/>
          <w:szCs w:val="28"/>
          <w:lang w:eastAsia="zh-CN"/>
        </w:rPr>
        <w:t>成交</w:t>
      </w:r>
      <w:r>
        <w:rPr>
          <w:rFonts w:hint="eastAsia" w:ascii="仿宋" w:hAnsi="仿宋" w:eastAsia="仿宋"/>
          <w:color w:val="auto"/>
          <w:sz w:val="28"/>
          <w:szCs w:val="28"/>
        </w:rPr>
        <w:t>人，但报价低于其成本的除外。综合评分相等时，以报价低的优先；报价也相等的，由</w:t>
      </w:r>
      <w:r>
        <w:rPr>
          <w:rFonts w:hint="eastAsia" w:ascii="仿宋" w:hAnsi="仿宋" w:eastAsia="仿宋"/>
          <w:color w:val="auto"/>
          <w:sz w:val="28"/>
          <w:szCs w:val="28"/>
          <w:lang w:eastAsia="zh-CN"/>
        </w:rPr>
        <w:t>比选</w:t>
      </w:r>
      <w:r>
        <w:rPr>
          <w:rFonts w:hint="eastAsia" w:ascii="仿宋" w:hAnsi="仿宋" w:eastAsia="仿宋"/>
          <w:color w:val="auto"/>
          <w:sz w:val="28"/>
          <w:szCs w:val="28"/>
        </w:rPr>
        <w:t>人自行确定。</w:t>
      </w:r>
    </w:p>
    <w:p>
      <w:pPr>
        <w:adjustRightInd w:val="0"/>
        <w:snapToGrid w:val="0"/>
        <w:spacing w:line="360" w:lineRule="auto"/>
        <w:ind w:firstLine="560" w:firstLineChars="2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2.2</w:t>
      </w:r>
      <w:r>
        <w:rPr>
          <w:rFonts w:hint="eastAsia" w:ascii="仿宋_GB2312" w:hAnsi="宋体" w:eastAsia="仿宋_GB2312" w:cs="宋体"/>
          <w:color w:val="000000"/>
          <w:kern w:val="0"/>
          <w:sz w:val="28"/>
          <w:szCs w:val="28"/>
        </w:rPr>
        <w:t>递交</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相应文件截止时，送达的</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文件少于3个的，</w:t>
      </w:r>
      <w:r>
        <w:rPr>
          <w:rFonts w:hint="eastAsia" w:ascii="仿宋_GB2312" w:hAnsi="宋体" w:eastAsia="仿宋_GB2312" w:cs="宋体"/>
          <w:color w:val="000000"/>
          <w:kern w:val="0"/>
          <w:sz w:val="28"/>
          <w:szCs w:val="28"/>
          <w:lang w:val="en-US" w:eastAsia="zh-CN"/>
        </w:rPr>
        <w:t>即</w:t>
      </w:r>
      <w:r>
        <w:rPr>
          <w:rFonts w:hint="eastAsia" w:ascii="仿宋_GB2312" w:hAnsi="宋体" w:eastAsia="仿宋_GB2312" w:cs="宋体"/>
          <w:color w:val="000000"/>
          <w:kern w:val="0"/>
          <w:sz w:val="28"/>
          <w:szCs w:val="28"/>
        </w:rPr>
        <w:t>停止</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活动，将递交的</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文件退还</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人，并重新组织</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。重新</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仍然不足3个单位的，</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项目将可以继续进行</w:t>
      </w:r>
      <w:r>
        <w:rPr>
          <w:rFonts w:hint="eastAsia" w:ascii="仿宋_GB2312" w:hAnsi="宋体" w:eastAsia="仿宋_GB2312" w:cs="宋体"/>
          <w:color w:val="000000"/>
          <w:kern w:val="0"/>
          <w:sz w:val="28"/>
          <w:szCs w:val="28"/>
          <w:lang w:val="en-US" w:eastAsia="zh-CN"/>
        </w:rPr>
        <w:t>开标</w:t>
      </w:r>
      <w:r>
        <w:rPr>
          <w:rFonts w:hint="eastAsia" w:ascii="仿宋_GB2312" w:hAnsi="宋体" w:eastAsia="仿宋_GB2312" w:cs="宋体"/>
          <w:color w:val="000000"/>
          <w:kern w:val="0"/>
          <w:sz w:val="28"/>
          <w:szCs w:val="28"/>
        </w:rPr>
        <w:t>。</w:t>
      </w:r>
    </w:p>
    <w:p>
      <w:pPr>
        <w:adjustRightInd w:val="0"/>
        <w:snapToGrid w:val="0"/>
        <w:spacing w:line="360" w:lineRule="auto"/>
        <w:ind w:firstLine="570"/>
        <w:rPr>
          <w:rFonts w:hint="eastAsia" w:ascii="仿宋" w:hAnsi="仿宋" w:eastAsia="仿宋"/>
          <w:color w:val="auto"/>
          <w:sz w:val="28"/>
          <w:szCs w:val="28"/>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2.3</w:t>
      </w:r>
      <w:r>
        <w:rPr>
          <w:rFonts w:hint="eastAsia" w:ascii="仿宋_GB2312" w:hAnsi="宋体" w:eastAsia="仿宋_GB2312" w:cs="宋体"/>
          <w:color w:val="000000"/>
          <w:kern w:val="0"/>
          <w:sz w:val="28"/>
          <w:szCs w:val="28"/>
        </w:rPr>
        <w:t>如有项目因专业性及特殊性，导致有效</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人不足3个的，评审委员会应当否决所有</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人。但是有效</w:t>
      </w:r>
      <w:r>
        <w:rPr>
          <w:rFonts w:hint="eastAsia" w:ascii="仿宋_GB2312" w:hAnsi="宋体" w:eastAsia="仿宋_GB2312" w:cs="宋体"/>
          <w:color w:val="000000"/>
          <w:kern w:val="0"/>
          <w:sz w:val="28"/>
          <w:szCs w:val="28"/>
          <w:lang w:val="en-US" w:eastAsia="zh-CN"/>
        </w:rPr>
        <w:t>响应</w:t>
      </w:r>
      <w:r>
        <w:rPr>
          <w:rFonts w:hint="eastAsia" w:ascii="仿宋_GB2312" w:hAnsi="宋体" w:eastAsia="仿宋_GB2312" w:cs="宋体"/>
          <w:color w:val="000000"/>
          <w:kern w:val="0"/>
          <w:sz w:val="28"/>
          <w:szCs w:val="28"/>
        </w:rPr>
        <w:t>人的经济、技术等指标仍然具有市场竞争力，能够满足</w:t>
      </w:r>
      <w:r>
        <w:rPr>
          <w:rFonts w:hint="eastAsia" w:ascii="仿宋_GB2312" w:hAnsi="宋体" w:eastAsia="仿宋_GB2312" w:cs="宋体"/>
          <w:color w:val="000000"/>
          <w:kern w:val="0"/>
          <w:sz w:val="28"/>
          <w:szCs w:val="28"/>
          <w:lang w:val="en-US" w:eastAsia="zh-CN"/>
        </w:rPr>
        <w:t>比选</w:t>
      </w:r>
      <w:r>
        <w:rPr>
          <w:rFonts w:hint="eastAsia" w:ascii="仿宋_GB2312" w:hAnsi="宋体" w:eastAsia="仿宋_GB2312" w:cs="宋体"/>
          <w:color w:val="000000"/>
          <w:kern w:val="0"/>
          <w:sz w:val="28"/>
          <w:szCs w:val="28"/>
        </w:rPr>
        <w:t>文件要求的，</w:t>
      </w:r>
      <w:r>
        <w:rPr>
          <w:rFonts w:hint="eastAsia" w:ascii="仿宋_GB2312" w:hAnsi="宋体" w:eastAsia="仿宋_GB2312" w:cs="宋体"/>
          <w:color w:val="000000"/>
          <w:kern w:val="0"/>
          <w:sz w:val="28"/>
          <w:szCs w:val="28"/>
          <w:lang w:eastAsia="zh-CN"/>
        </w:rPr>
        <w:t>评审</w:t>
      </w:r>
      <w:r>
        <w:rPr>
          <w:rFonts w:hint="eastAsia" w:ascii="仿宋_GB2312" w:hAnsi="宋体" w:eastAsia="仿宋_GB2312" w:cs="宋体"/>
          <w:color w:val="000000"/>
          <w:kern w:val="0"/>
          <w:sz w:val="28"/>
          <w:szCs w:val="28"/>
        </w:rPr>
        <w:t>委员会可以继续</w:t>
      </w:r>
      <w:r>
        <w:rPr>
          <w:rFonts w:hint="eastAsia" w:ascii="仿宋_GB2312" w:hAnsi="宋体" w:eastAsia="仿宋_GB2312" w:cs="宋体"/>
          <w:color w:val="000000"/>
          <w:kern w:val="0"/>
          <w:sz w:val="28"/>
          <w:szCs w:val="28"/>
          <w:lang w:eastAsia="zh-CN"/>
        </w:rPr>
        <w:t>评审</w:t>
      </w:r>
      <w:r>
        <w:rPr>
          <w:rFonts w:hint="eastAsia" w:ascii="仿宋_GB2312" w:hAnsi="宋体" w:eastAsia="仿宋_GB2312" w:cs="宋体"/>
          <w:color w:val="000000"/>
          <w:kern w:val="0"/>
          <w:sz w:val="28"/>
          <w:szCs w:val="28"/>
        </w:rPr>
        <w:t>，根据符合采购需求、质量和服务，且</w:t>
      </w:r>
      <w:r>
        <w:rPr>
          <w:rFonts w:hint="eastAsia" w:ascii="仿宋_GB2312" w:hAnsi="宋体" w:eastAsia="仿宋_GB2312" w:cs="宋体"/>
          <w:color w:val="000000"/>
          <w:kern w:val="0"/>
          <w:sz w:val="28"/>
          <w:szCs w:val="28"/>
          <w:lang w:val="en-US" w:eastAsia="zh-CN"/>
        </w:rPr>
        <w:t>得分最高</w:t>
      </w:r>
      <w:r>
        <w:rPr>
          <w:rFonts w:hint="eastAsia" w:ascii="仿宋_GB2312" w:hAnsi="宋体" w:eastAsia="仿宋_GB2312" w:cs="宋体"/>
          <w:color w:val="000000"/>
          <w:kern w:val="0"/>
          <w:sz w:val="28"/>
          <w:szCs w:val="28"/>
        </w:rPr>
        <w:t>的原则确定</w:t>
      </w:r>
      <w:r>
        <w:rPr>
          <w:rFonts w:hint="eastAsia" w:ascii="仿宋_GB2312" w:hAnsi="宋体" w:eastAsia="仿宋_GB2312" w:cs="宋体"/>
          <w:color w:val="000000"/>
          <w:kern w:val="0"/>
          <w:sz w:val="28"/>
          <w:szCs w:val="28"/>
          <w:lang w:val="en-US" w:eastAsia="zh-CN"/>
        </w:rPr>
        <w:t>成交</w:t>
      </w:r>
      <w:r>
        <w:rPr>
          <w:rFonts w:hint="eastAsia" w:ascii="仿宋_GB2312" w:hAnsi="宋体" w:eastAsia="仿宋_GB2312" w:cs="宋体"/>
          <w:color w:val="000000"/>
          <w:kern w:val="0"/>
          <w:sz w:val="28"/>
          <w:szCs w:val="28"/>
        </w:rPr>
        <w:t>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lang w:val="en-US" w:eastAsia="zh-CN"/>
        </w:rPr>
        <w:t>比选</w:t>
      </w:r>
      <w:r>
        <w:rPr>
          <w:rFonts w:hint="eastAsia" w:ascii="仿宋_GB2312" w:hAnsi="宋体" w:eastAsia="仿宋_GB2312"/>
          <w:b/>
          <w:color w:val="auto"/>
          <w:sz w:val="28"/>
          <w:szCs w:val="28"/>
        </w:rPr>
        <w:t>文件发售的时间、地点：</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比选</w:t>
      </w:r>
      <w:r>
        <w:rPr>
          <w:rFonts w:hint="eastAsia" w:ascii="仿宋_GB2312" w:hAnsi="宋体" w:eastAsia="仿宋_GB2312"/>
          <w:color w:val="auto"/>
          <w:sz w:val="28"/>
          <w:szCs w:val="28"/>
        </w:rPr>
        <w:t>文件及相关资料于</w:t>
      </w:r>
      <w:r>
        <w:rPr>
          <w:rFonts w:ascii="仿宋_GB2312" w:hAnsi="宋体" w:eastAsia="仿宋_GB2312"/>
          <w:color w:val="auto"/>
          <w:sz w:val="28"/>
          <w:szCs w:val="28"/>
        </w:rPr>
        <w:t xml:space="preserve"> </w:t>
      </w:r>
      <w:r>
        <w:rPr>
          <w:rFonts w:ascii="仿宋_GB2312" w:eastAsia="仿宋_GB2312"/>
          <w:color w:val="auto"/>
          <w:sz w:val="28"/>
          <w:szCs w:val="28"/>
        </w:rPr>
        <w:t>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日</w:t>
      </w:r>
      <w:r>
        <w:rPr>
          <w:rFonts w:hint="eastAsia" w:ascii="仿宋_GB2312" w:hAnsi="宋体" w:eastAsia="仿宋_GB2312"/>
          <w:color w:val="auto"/>
          <w:sz w:val="28"/>
          <w:szCs w:val="28"/>
        </w:rPr>
        <w:t>在重庆机场集团有限公司</w:t>
      </w:r>
      <w:r>
        <w:rPr>
          <w:rFonts w:hint="eastAsia" w:ascii="仿宋_GB2312" w:hAnsi="宋体" w:eastAsia="仿宋_GB2312"/>
          <w:color w:val="auto"/>
          <w:sz w:val="28"/>
          <w:szCs w:val="28"/>
          <w:lang w:val="en-US" w:eastAsia="zh-CN"/>
        </w:rPr>
        <w:t>官网以通知附件形式</w:t>
      </w:r>
      <w:r>
        <w:rPr>
          <w:rFonts w:hint="eastAsia" w:ascii="仿宋_GB2312" w:hAnsi="宋体" w:eastAsia="仿宋_GB2312"/>
          <w:color w:val="auto"/>
          <w:sz w:val="28"/>
          <w:szCs w:val="28"/>
        </w:rPr>
        <w:t>发放，每份售价为</w:t>
      </w:r>
      <w:r>
        <w:rPr>
          <w:rFonts w:ascii="仿宋_GB2312" w:hAnsi="宋体" w:eastAsia="仿宋_GB2312"/>
          <w:color w:val="auto"/>
          <w:sz w:val="28"/>
          <w:szCs w:val="28"/>
        </w:rPr>
        <w:t xml:space="preserve"> 00.00 </w:t>
      </w:r>
      <w:r>
        <w:rPr>
          <w:rFonts w:hint="eastAsia" w:ascii="仿宋_GB2312" w:hAnsi="宋体" w:eastAsia="仿宋_GB2312"/>
          <w:color w:val="auto"/>
          <w:sz w:val="28"/>
          <w:szCs w:val="28"/>
        </w:rPr>
        <w:t>元。</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p>
    <w:p>
      <w:pPr>
        <w:spacing w:line="360" w:lineRule="auto"/>
        <w:ind w:firstLine="560" w:firstLineChars="200"/>
        <w:rPr>
          <w:rFonts w:ascii="仿宋_GB2312" w:hAnsi="宋体" w:eastAsia="仿宋_GB2312" w:cs="Arial"/>
          <w:color w:val="auto"/>
          <w:sz w:val="28"/>
          <w:szCs w:val="28"/>
        </w:rPr>
      </w:pPr>
      <w:r>
        <w:rPr>
          <w:rFonts w:hint="eastAsia" w:ascii="仿宋_GB2312" w:hAnsi="宋体" w:eastAsia="仿宋_GB2312" w:cs="Arial"/>
          <w:color w:val="auto"/>
          <w:sz w:val="28"/>
          <w:szCs w:val="28"/>
          <w:lang w:val="en-US" w:eastAsia="zh-CN"/>
        </w:rPr>
        <w:t>60</w:t>
      </w:r>
      <w:r>
        <w:rPr>
          <w:rFonts w:hint="eastAsia" w:ascii="仿宋_GB2312" w:hAnsi="宋体" w:eastAsia="仿宋_GB2312" w:cs="Arial"/>
          <w:color w:val="auto"/>
          <w:sz w:val="28"/>
          <w:szCs w:val="28"/>
        </w:rPr>
        <w:t>个自然日</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两年及以上</w:t>
      </w:r>
    </w:p>
    <w:p>
      <w:pPr>
        <w:widowControl/>
        <w:adjustRightInd w:val="0"/>
        <w:snapToGrid w:val="0"/>
        <w:spacing w:line="360" w:lineRule="auto"/>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八</w:t>
      </w:r>
      <w:r>
        <w:rPr>
          <w:rFonts w:hint="eastAsia" w:ascii="仿宋_GB2312" w:hAnsi="宋体" w:eastAsia="仿宋_GB2312" w:cs="Arial"/>
          <w:b/>
          <w:color w:val="auto"/>
          <w:sz w:val="28"/>
          <w:szCs w:val="28"/>
        </w:rPr>
        <w:t>、</w:t>
      </w:r>
      <w:r>
        <w:rPr>
          <w:rFonts w:hint="eastAsia" w:ascii="仿宋_GB2312" w:eastAsia="仿宋_GB2312" w:cs="宋体"/>
          <w:b/>
          <w:color w:val="auto"/>
          <w:kern w:val="0"/>
          <w:sz w:val="28"/>
          <w:szCs w:val="28"/>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ascii="仿宋_GB2312" w:eastAsia="仿宋_GB2312"/>
          <w:color w:val="auto"/>
          <w:sz w:val="28"/>
          <w:szCs w:val="28"/>
          <w:lang w:val="zh-CN"/>
        </w:rPr>
        <w:t>.1</w:t>
      </w:r>
      <w:r>
        <w:rPr>
          <w:rFonts w:hint="eastAsia" w:ascii="仿宋_GB2312" w:eastAsia="仿宋_GB2312"/>
          <w:color w:val="auto"/>
          <w:sz w:val="28"/>
          <w:szCs w:val="28"/>
          <w:lang w:val="zh-CN"/>
        </w:rPr>
        <w:t>供应商应当按照</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文件的要求编制</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文件应当对</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文件提出的要求和条件作出实质性应答。</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ascii="仿宋_GB2312" w:eastAsia="仿宋_GB2312"/>
          <w:color w:val="auto"/>
          <w:sz w:val="28"/>
          <w:szCs w:val="28"/>
          <w:lang w:val="zh-CN"/>
        </w:rPr>
        <w:t>.2</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.2.1封面。</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.2.2加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的报价单</w:t>
      </w:r>
      <w:r>
        <w:rPr>
          <w:rFonts w:hint="eastAsia" w:ascii="仿宋_GB2312" w:eastAsia="仿宋_GB2312"/>
          <w:color w:val="auto"/>
          <w:sz w:val="28"/>
          <w:szCs w:val="28"/>
          <w:lang w:val="en-US" w:eastAsia="zh-CN"/>
        </w:rPr>
        <w:t>和分项报价表</w:t>
      </w:r>
      <w:r>
        <w:rPr>
          <w:rFonts w:hint="eastAsia" w:ascii="仿宋_GB2312" w:eastAsia="仿宋_GB2312"/>
          <w:color w:val="auto"/>
          <w:sz w:val="28"/>
          <w:szCs w:val="28"/>
          <w:lang w:val="zh-CN"/>
        </w:rPr>
        <w:t>及声明。</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.2.3技术部分。主要包括拟提供货物和服务的主要技术指标和性能的详细说明、详细的交货清单、货物安装、验收标准、技术资料，以及必须的备件和专用工具清单等。如果提供的货物和服务与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文件要求有偏差，必须详细说明。</w:t>
      </w:r>
      <w:r>
        <w:rPr>
          <w:rFonts w:hint="eastAsia" w:ascii="仿宋_GB2312" w:hAnsi="宋体" w:eastAsia="仿宋_GB2312" w:cs="Arial"/>
          <w:color w:val="auto"/>
          <w:sz w:val="28"/>
          <w:szCs w:val="28"/>
        </w:rPr>
        <w:t>须经</w:t>
      </w:r>
      <w:r>
        <w:rPr>
          <w:rFonts w:hint="eastAsia" w:ascii="仿宋_GB2312" w:hAnsi="宋体" w:eastAsia="仿宋_GB2312" w:cs="Arial"/>
          <w:color w:val="auto"/>
          <w:sz w:val="28"/>
          <w:szCs w:val="28"/>
          <w:lang w:val="en-US" w:eastAsia="zh-CN"/>
        </w:rPr>
        <w:t>评审</w:t>
      </w:r>
      <w:r>
        <w:rPr>
          <w:rFonts w:hint="eastAsia" w:ascii="仿宋_GB2312" w:hAnsi="宋体" w:eastAsia="仿宋_GB2312" w:cs="Arial"/>
          <w:color w:val="auto"/>
          <w:sz w:val="28"/>
          <w:szCs w:val="28"/>
        </w:rPr>
        <w:t>小组评定和采购人许可，才能作为供应商实质性响应。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ind w:firstLine="560" w:firstLineChars="200"/>
        <w:jc w:val="left"/>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.2.4报价部分。供应商应按照</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lang w:val="zh-CN"/>
        </w:rPr>
        <w:t>文件要求报出拟提供货物和服务的品牌、规格、产地、单价、总价等详细内容，各项报价应包括拟提供货物的运输、安装、调试、相关税金，以及培训和服务等全部费用，报价分为含</w:t>
      </w:r>
      <w:r>
        <w:rPr>
          <w:rFonts w:hint="eastAsia" w:ascii="仿宋_GB2312" w:eastAsia="仿宋_GB2312"/>
          <w:color w:val="auto"/>
          <w:sz w:val="28"/>
          <w:szCs w:val="28"/>
          <w:lang w:val="en-US" w:eastAsia="zh-CN"/>
        </w:rPr>
        <w:t>税</w:t>
      </w:r>
      <w:r>
        <w:rPr>
          <w:rFonts w:hint="eastAsia" w:ascii="仿宋_GB2312" w:eastAsia="仿宋_GB2312"/>
          <w:color w:val="auto"/>
          <w:sz w:val="28"/>
          <w:szCs w:val="28"/>
          <w:lang w:val="zh-CN"/>
        </w:rPr>
        <w:t>报价和不含税报价，增值税税率单列。（报价表格自制）</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.2.5商务部分。主要包括营业执照、强制性认证证明材料、厂家授权文件，业绩要求的合同材料等资格证明文件（复印件），法人代表委托书（原件）等。</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lang w:val="zh-CN"/>
        </w:rPr>
        <w:t>.2.6</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lang w:val="zh-CN"/>
        </w:rPr>
        <w:t>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color w:val="auto"/>
          <w:sz w:val="28"/>
          <w:szCs w:val="28"/>
          <w:lang w:val="en-US" w:eastAsia="zh-CN"/>
        </w:rPr>
        <w:t>九</w:t>
      </w:r>
      <w:r>
        <w:rPr>
          <w:rFonts w:hint="eastAsia" w:ascii="仿宋_GB2312" w:eastAsia="仿宋_GB2312"/>
          <w:b/>
          <w:color w:val="auto"/>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w:t>
      </w:r>
      <w:r>
        <w:rPr>
          <w:rFonts w:ascii="仿宋" w:hAnsi="仿宋" w:eastAsia="仿宋"/>
          <w:color w:val="auto"/>
          <w:sz w:val="28"/>
          <w:szCs w:val="28"/>
          <w:lang w:val="zh-CN"/>
        </w:rPr>
        <w:t>.1</w:t>
      </w:r>
      <w:r>
        <w:rPr>
          <w:rFonts w:hint="eastAsia" w:ascii="仿宋" w:hAnsi="仿宋" w:eastAsia="仿宋"/>
          <w:color w:val="auto"/>
          <w:sz w:val="28"/>
          <w:szCs w:val="28"/>
          <w:lang w:val="en-US" w:eastAsia="zh-CN"/>
        </w:rPr>
        <w:t>响应文件作废的规定：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9.1.3有串通响应或弄虚作假或有其他违法行为的；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9.1.4响应文件无盖章无有效授权书的；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9.1.7响应文件正副本不一致的；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9.1.9未按比选文件要求提供样品或产品小样的；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9.1.10评审委员会审查发现响应文件未能对比选文件提出的所有实质性要求和条件作出响应的。</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hint="eastAsia" w:ascii="仿宋_GB2312" w:eastAsia="仿宋_GB2312" w:cs="宋体"/>
          <w:color w:val="auto"/>
          <w:kern w:val="0"/>
          <w:sz w:val="28"/>
          <w:szCs w:val="28"/>
          <w:lang w:val="en-US" w:eastAsia="zh-CN"/>
        </w:rPr>
        <w:t>9</w:t>
      </w:r>
      <w:r>
        <w:rPr>
          <w:rFonts w:ascii="仿宋_GB2312" w:eastAsia="仿宋_GB2312" w:cs="宋体"/>
          <w:color w:val="auto"/>
          <w:kern w:val="0"/>
          <w:sz w:val="28"/>
          <w:szCs w:val="28"/>
        </w:rPr>
        <w:t>.</w:t>
      </w:r>
      <w:r>
        <w:rPr>
          <w:rFonts w:hint="eastAsia" w:ascii="仿宋_GB2312" w:eastAsia="仿宋_GB2312" w:cs="宋体"/>
          <w:color w:val="auto"/>
          <w:kern w:val="0"/>
          <w:sz w:val="28"/>
          <w:szCs w:val="28"/>
        </w:rPr>
        <w:t>2</w:t>
      </w:r>
      <w:r>
        <w:rPr>
          <w:rFonts w:hint="eastAsia" w:ascii="仿宋_GB2312" w:eastAsia="仿宋_GB2312" w:cs="宋体"/>
          <w:color w:val="auto"/>
          <w:kern w:val="0"/>
          <w:sz w:val="28"/>
          <w:szCs w:val="28"/>
          <w:lang w:val="en-US" w:eastAsia="zh-CN"/>
        </w:rPr>
        <w:t>响应</w:t>
      </w:r>
      <w:r>
        <w:rPr>
          <w:rFonts w:hint="eastAsia" w:ascii="仿宋_GB2312" w:eastAsia="仿宋_GB2312" w:cs="宋体"/>
          <w:color w:val="auto"/>
          <w:kern w:val="0"/>
          <w:sz w:val="28"/>
          <w:szCs w:val="28"/>
        </w:rPr>
        <w:t>文件必须在</w:t>
      </w:r>
      <w:r>
        <w:rPr>
          <w:rFonts w:ascii="仿宋_GB2312" w:hAnsi="宋体" w:eastAsia="仿宋_GB2312" w:cs="宋体"/>
          <w:color w:val="auto"/>
          <w:kern w:val="0"/>
          <w:sz w:val="28"/>
          <w:szCs w:val="28"/>
        </w:rPr>
        <w:t>20</w:t>
      </w:r>
      <w:r>
        <w:rPr>
          <w:rFonts w:hint="eastAsia" w:ascii="仿宋_GB2312" w:hAnsi="宋体" w:eastAsia="仿宋_GB2312" w:cs="宋体"/>
          <w:color w:val="auto"/>
          <w:kern w:val="0"/>
          <w:sz w:val="28"/>
          <w:szCs w:val="28"/>
          <w:lang w:val="en-US" w:eastAsia="zh-CN"/>
        </w:rPr>
        <w:t>20</w:t>
      </w:r>
      <w:r>
        <w:rPr>
          <w:rFonts w:hint="eastAsia" w:ascii="仿宋_GB2312" w:eastAsia="仿宋_GB2312" w:cs="宋体"/>
          <w:color w:val="auto"/>
          <w:kern w:val="0"/>
          <w:sz w:val="28"/>
          <w:szCs w:val="28"/>
        </w:rPr>
        <w:t>年</w:t>
      </w:r>
      <w:r>
        <w:rPr>
          <w:rFonts w:hint="eastAsia" w:ascii="仿宋_GB2312" w:eastAsia="仿宋_GB2312" w:cs="宋体"/>
          <w:color w:val="auto"/>
          <w:kern w:val="0"/>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14:00</w:t>
      </w:r>
      <w:r>
        <w:rPr>
          <w:rFonts w:hint="eastAsia" w:ascii="仿宋_GB2312" w:eastAsia="仿宋_GB2312" w:cs="宋体"/>
          <w:color w:val="auto"/>
          <w:kern w:val="0"/>
          <w:sz w:val="28"/>
          <w:szCs w:val="28"/>
        </w:rPr>
        <w:t>时前送到重庆机场有限公司</w:t>
      </w:r>
      <w:r>
        <w:rPr>
          <w:rFonts w:hint="eastAsia" w:ascii="仿宋_GB2312" w:eastAsia="仿宋_GB2312" w:cs="宋体"/>
          <w:color w:val="auto"/>
          <w:kern w:val="0"/>
          <w:sz w:val="28"/>
          <w:szCs w:val="28"/>
          <w:lang w:val="en-US" w:eastAsia="zh-CN"/>
        </w:rPr>
        <w:t>消防护卫部</w:t>
      </w:r>
      <w:r>
        <w:rPr>
          <w:rFonts w:hint="eastAsia" w:ascii="仿宋_GB2312" w:eastAsia="仿宋_GB2312" w:cs="宋体"/>
          <w:color w:val="auto"/>
          <w:kern w:val="0"/>
          <w:sz w:val="28"/>
          <w:szCs w:val="28"/>
        </w:rPr>
        <w:t>办公楼</w:t>
      </w:r>
      <w:r>
        <w:rPr>
          <w:rFonts w:hint="eastAsia" w:ascii="仿宋_GB2312" w:eastAsia="仿宋_GB2312" w:cs="宋体"/>
          <w:color w:val="auto"/>
          <w:kern w:val="0"/>
          <w:sz w:val="28"/>
          <w:szCs w:val="28"/>
          <w:lang w:val="en-US" w:eastAsia="zh-CN"/>
        </w:rPr>
        <w:t>210</w:t>
      </w:r>
      <w:r>
        <w:rPr>
          <w:rFonts w:hint="eastAsia" w:ascii="仿宋_GB2312" w:eastAsia="仿宋_GB2312" w:cs="宋体"/>
          <w:color w:val="auto"/>
          <w:kern w:val="0"/>
          <w:sz w:val="28"/>
          <w:szCs w:val="28"/>
        </w:rPr>
        <w:t>室，过期不予受理。</w:t>
      </w:r>
    </w:p>
    <w:p>
      <w:pPr>
        <w:autoSpaceDE w:val="0"/>
        <w:autoSpaceDN w:val="0"/>
        <w:adjustRightInd w:val="0"/>
        <w:snapToGrid w:val="0"/>
        <w:spacing w:line="360" w:lineRule="auto"/>
        <w:ind w:firstLine="551" w:firstLineChars="197"/>
        <w:textAlignment w:val="bottom"/>
        <w:rPr>
          <w:rFonts w:ascii="仿宋_GB2312" w:hAnsi="宋体" w:eastAsia="仿宋_GB2312"/>
          <w:color w:val="auto"/>
          <w:sz w:val="28"/>
          <w:szCs w:val="28"/>
        </w:rPr>
      </w:pPr>
      <w:r>
        <w:rPr>
          <w:rFonts w:hint="eastAsia" w:ascii="仿宋_GB2312" w:eastAsia="仿宋_GB2312" w:cs="宋体"/>
          <w:color w:val="auto"/>
          <w:kern w:val="0"/>
          <w:sz w:val="28"/>
          <w:szCs w:val="28"/>
          <w:lang w:val="en-US" w:eastAsia="zh-CN"/>
        </w:rPr>
        <w:t>9</w:t>
      </w:r>
      <w:r>
        <w:rPr>
          <w:rFonts w:ascii="仿宋_GB2312" w:eastAsia="仿宋_GB2312" w:cs="宋体"/>
          <w:color w:val="auto"/>
          <w:kern w:val="0"/>
          <w:sz w:val="28"/>
          <w:szCs w:val="28"/>
        </w:rPr>
        <w:t>.</w:t>
      </w:r>
      <w:r>
        <w:rPr>
          <w:rFonts w:hint="eastAsia" w:ascii="仿宋_GB2312" w:eastAsia="仿宋_GB2312" w:cs="宋体"/>
          <w:color w:val="auto"/>
          <w:kern w:val="0"/>
          <w:sz w:val="28"/>
          <w:szCs w:val="28"/>
        </w:rPr>
        <w:t>3封面上须注明“项目名称”及“</w:t>
      </w:r>
      <w:r>
        <w:rPr>
          <w:rFonts w:hint="eastAsia" w:ascii="仿宋_GB2312" w:eastAsia="仿宋_GB2312" w:cs="宋体"/>
          <w:color w:val="auto"/>
          <w:kern w:val="0"/>
          <w:sz w:val="28"/>
          <w:szCs w:val="28"/>
          <w:lang w:val="en-US" w:eastAsia="zh-CN"/>
        </w:rPr>
        <w:t>比选</w:t>
      </w:r>
      <w:r>
        <w:rPr>
          <w:rFonts w:hint="eastAsia" w:ascii="仿宋_GB2312" w:eastAsia="仿宋_GB2312" w:cs="宋体"/>
          <w:color w:val="auto"/>
          <w:kern w:val="0"/>
          <w:sz w:val="28"/>
          <w:szCs w:val="28"/>
        </w:rPr>
        <w:t>文件编号”；报价清单要求盖章或签字处及</w:t>
      </w:r>
      <w:r>
        <w:rPr>
          <w:rFonts w:hint="eastAsia" w:ascii="仿宋_GB2312" w:hAnsi="宋体" w:eastAsia="仿宋_GB2312"/>
          <w:bCs/>
          <w:color w:val="auto"/>
          <w:spacing w:val="-8"/>
          <w:sz w:val="28"/>
          <w:szCs w:val="28"/>
          <w:lang w:val="en-US" w:eastAsia="zh-CN"/>
        </w:rPr>
        <w:t>响应</w:t>
      </w:r>
      <w:r>
        <w:rPr>
          <w:rFonts w:hint="eastAsia" w:ascii="仿宋_GB2312" w:hAnsi="宋体" w:eastAsia="仿宋_GB2312"/>
          <w:bCs/>
          <w:color w:val="auto"/>
          <w:spacing w:val="-8"/>
          <w:sz w:val="28"/>
          <w:szCs w:val="28"/>
        </w:rPr>
        <w:t>文件</w:t>
      </w:r>
      <w:r>
        <w:rPr>
          <w:rFonts w:hint="eastAsia" w:ascii="仿宋_GB2312" w:hAnsi="宋体" w:eastAsia="仿宋_GB2312"/>
          <w:color w:val="auto"/>
          <w:spacing w:val="-8"/>
          <w:sz w:val="28"/>
          <w:szCs w:val="28"/>
        </w:rPr>
        <w:t>外包装上密封处加盖报价供应商公章。</w:t>
      </w: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w:t>
      </w:r>
      <w:r>
        <w:rPr>
          <w:rFonts w:hint="eastAsia" w:ascii="仿宋_GB2312" w:hAnsi="宋体" w:eastAsia="仿宋_GB2312" w:cs="Arial"/>
          <w:b/>
          <w:color w:val="auto"/>
          <w:sz w:val="28"/>
          <w:szCs w:val="28"/>
          <w:lang w:val="en-US" w:eastAsia="zh-CN"/>
        </w:rPr>
        <w:t>开标</w:t>
      </w:r>
      <w:r>
        <w:rPr>
          <w:rFonts w:hint="eastAsia" w:ascii="仿宋_GB2312" w:hAnsi="宋体" w:eastAsia="仿宋_GB2312" w:cs="Arial"/>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olor w:val="auto"/>
          <w:sz w:val="28"/>
          <w:szCs w:val="28"/>
        </w:rPr>
        <w:t>1</w:t>
      </w:r>
      <w:r>
        <w:rPr>
          <w:rFonts w:hint="eastAsia" w:ascii="仿宋_GB2312" w:eastAsia="仿宋_GB2312"/>
          <w:color w:val="auto"/>
          <w:sz w:val="28"/>
          <w:szCs w:val="28"/>
          <w:lang w:val="en-US" w:eastAsia="zh-CN"/>
        </w:rPr>
        <w:t>0</w:t>
      </w:r>
      <w:r>
        <w:rPr>
          <w:rFonts w:ascii="仿宋_GB2312" w:eastAsia="仿宋_GB2312"/>
          <w:color w:val="auto"/>
          <w:sz w:val="28"/>
          <w:szCs w:val="28"/>
        </w:rPr>
        <w:t>.</w:t>
      </w:r>
      <w:r>
        <w:rPr>
          <w:rFonts w:hint="eastAsia" w:ascii="仿宋_GB2312" w:eastAsia="仿宋_GB2312"/>
          <w:color w:val="auto"/>
          <w:sz w:val="28"/>
          <w:szCs w:val="28"/>
        </w:rPr>
        <w:t>1</w:t>
      </w:r>
      <w:r>
        <w:rPr>
          <w:rFonts w:ascii="仿宋_GB2312" w:eastAsia="仿宋_GB2312"/>
          <w:color w:val="auto"/>
          <w:sz w:val="28"/>
          <w:szCs w:val="28"/>
        </w:rPr>
        <w:t xml:space="preserve"> 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14:30</w:t>
      </w:r>
      <w:r>
        <w:rPr>
          <w:rFonts w:hint="eastAsia" w:ascii="仿宋_GB2312" w:eastAsia="仿宋_GB2312"/>
          <w:color w:val="auto"/>
          <w:sz w:val="28"/>
          <w:szCs w:val="28"/>
        </w:rPr>
        <w:t>时在重庆机场集团公司</w:t>
      </w:r>
      <w:r>
        <w:rPr>
          <w:rFonts w:hint="eastAsia" w:ascii="仿宋_GB2312" w:eastAsia="仿宋_GB2312"/>
          <w:color w:val="auto"/>
          <w:sz w:val="28"/>
          <w:szCs w:val="28"/>
          <w:lang w:val="en-US" w:eastAsia="zh-CN"/>
        </w:rPr>
        <w:t>消防护卫部</w:t>
      </w:r>
      <w:bookmarkStart w:id="4" w:name="_GoBack"/>
      <w:bookmarkEnd w:id="4"/>
      <w:r>
        <w:rPr>
          <w:rFonts w:hint="eastAsia" w:ascii="仿宋_GB2312" w:eastAsia="仿宋_GB2312"/>
          <w:color w:val="auto"/>
          <w:sz w:val="28"/>
          <w:szCs w:val="28"/>
        </w:rPr>
        <w:t>对本项目进行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响应</w:t>
      </w:r>
      <w:r>
        <w:rPr>
          <w:rFonts w:hint="eastAsia" w:ascii="仿宋_GB2312" w:eastAsia="仿宋_GB2312"/>
          <w:color w:val="auto"/>
          <w:sz w:val="28"/>
          <w:szCs w:val="28"/>
        </w:rPr>
        <w:t>供应商须参加。</w:t>
      </w:r>
    </w:p>
    <w:p>
      <w:pPr>
        <w:autoSpaceDE w:val="0"/>
        <w:autoSpaceDN w:val="0"/>
        <w:adjustRightInd w:val="0"/>
        <w:snapToGrid w:val="0"/>
        <w:spacing w:line="360" w:lineRule="auto"/>
        <w:ind w:firstLine="560" w:firstLineChars="200"/>
        <w:textAlignment w:val="bottom"/>
        <w:rPr>
          <w:rFonts w:ascii="仿宋_GB2312" w:hAnsi="宋体" w:eastAsia="仿宋_GB2312" w:cs="Arial"/>
          <w:color w:val="auto"/>
          <w:sz w:val="28"/>
          <w:szCs w:val="28"/>
        </w:rPr>
      </w:pPr>
      <w:r>
        <w:rPr>
          <w:rFonts w:ascii="仿宋_GB2312" w:hAnsi="宋体" w:eastAsia="仿宋_GB2312"/>
          <w:color w:val="auto"/>
          <w:sz w:val="28"/>
          <w:szCs w:val="28"/>
        </w:rPr>
        <w:t>1</w:t>
      </w:r>
      <w:r>
        <w:rPr>
          <w:rFonts w:hint="eastAsia" w:ascii="仿宋_GB2312" w:hAnsi="宋体" w:eastAsia="仿宋_GB2312"/>
          <w:color w:val="auto"/>
          <w:sz w:val="28"/>
          <w:szCs w:val="28"/>
          <w:lang w:val="en-US" w:eastAsia="zh-CN"/>
        </w:rPr>
        <w:t>0</w:t>
      </w:r>
      <w:r>
        <w:rPr>
          <w:rFonts w:ascii="仿宋_GB2312" w:hAnsi="宋体" w:eastAsia="仿宋_GB2312"/>
          <w:color w:val="auto"/>
          <w:sz w:val="28"/>
          <w:szCs w:val="28"/>
        </w:rPr>
        <w:t>.</w:t>
      </w:r>
      <w:r>
        <w:rPr>
          <w:rFonts w:hint="eastAsia" w:ascii="仿宋_GB2312" w:hAnsi="宋体" w:eastAsia="仿宋_GB2312"/>
          <w:color w:val="auto"/>
          <w:sz w:val="28"/>
          <w:szCs w:val="28"/>
        </w:rPr>
        <w:t>2公布</w:t>
      </w:r>
      <w:r>
        <w:rPr>
          <w:rFonts w:hint="eastAsia" w:ascii="仿宋_GB2312" w:hAnsi="宋体" w:eastAsia="仿宋_GB2312"/>
          <w:color w:val="auto"/>
          <w:sz w:val="28"/>
          <w:szCs w:val="28"/>
          <w:lang w:val="en-US" w:eastAsia="zh-CN"/>
        </w:rPr>
        <w:t>比选</w:t>
      </w:r>
      <w:r>
        <w:rPr>
          <w:rFonts w:hint="eastAsia" w:ascii="仿宋_GB2312" w:hAnsi="宋体" w:eastAsia="仿宋_GB2312"/>
          <w:color w:val="auto"/>
          <w:sz w:val="28"/>
          <w:szCs w:val="28"/>
        </w:rPr>
        <w:t>结果时间：待结果确定后会及时通知，原则上只通知被选中的</w:t>
      </w:r>
      <w:r>
        <w:rPr>
          <w:rFonts w:hint="eastAsia" w:ascii="仿宋_GB2312" w:hAnsi="宋体" w:eastAsia="仿宋_GB2312"/>
          <w:color w:val="auto"/>
          <w:sz w:val="28"/>
          <w:szCs w:val="28"/>
          <w:lang w:val="en-US" w:eastAsia="zh-CN"/>
        </w:rPr>
        <w:t>响应</w:t>
      </w:r>
      <w:r>
        <w:rPr>
          <w:rFonts w:hint="eastAsia" w:ascii="仿宋_GB2312" w:hAnsi="宋体" w:eastAsia="仿宋_GB2312"/>
          <w:color w:val="auto"/>
          <w:sz w:val="28"/>
          <w:szCs w:val="28"/>
        </w:rPr>
        <w:t>人。对未被选中的</w:t>
      </w:r>
      <w:r>
        <w:rPr>
          <w:rFonts w:hint="eastAsia" w:ascii="仿宋_GB2312" w:hAnsi="宋体" w:eastAsia="仿宋_GB2312"/>
          <w:color w:val="auto"/>
          <w:sz w:val="28"/>
          <w:szCs w:val="28"/>
          <w:lang w:val="en-US" w:eastAsia="zh-CN"/>
        </w:rPr>
        <w:t>响应</w:t>
      </w:r>
      <w:r>
        <w:rPr>
          <w:rFonts w:hint="eastAsia" w:ascii="仿宋_GB2312" w:hAnsi="宋体" w:eastAsia="仿宋_GB2312"/>
          <w:color w:val="auto"/>
          <w:sz w:val="28"/>
          <w:szCs w:val="28"/>
        </w:rPr>
        <w:t>人不通知、不解释。</w:t>
      </w:r>
    </w:p>
    <w:p>
      <w:pPr>
        <w:snapToGrid w:val="0"/>
        <w:spacing w:line="360" w:lineRule="auto"/>
        <w:rPr>
          <w:rFonts w:ascii="仿宋_GB2312" w:hAnsi="宋体" w:eastAsia="仿宋_GB2312"/>
          <w:b/>
          <w:color w:val="auto"/>
          <w:sz w:val="28"/>
          <w:szCs w:val="28"/>
        </w:rPr>
      </w:pPr>
      <w:r>
        <w:rPr>
          <w:rFonts w:hint="eastAsia" w:ascii="仿宋_GB2312" w:hAnsi="宋体" w:eastAsia="仿宋_GB2312" w:cs="Arial"/>
          <w:b/>
          <w:color w:val="auto"/>
          <w:sz w:val="28"/>
          <w:szCs w:val="28"/>
        </w:rPr>
        <w:t>十</w:t>
      </w:r>
      <w:r>
        <w:rPr>
          <w:rFonts w:hint="eastAsia" w:ascii="仿宋_GB2312" w:hAnsi="宋体" w:eastAsia="仿宋_GB2312" w:cs="Arial"/>
          <w:b/>
          <w:color w:val="auto"/>
          <w:sz w:val="28"/>
          <w:szCs w:val="28"/>
          <w:lang w:val="en-US" w:eastAsia="zh-CN"/>
        </w:rPr>
        <w:t>一</w:t>
      </w:r>
      <w:r>
        <w:rPr>
          <w:rFonts w:hint="eastAsia" w:ascii="仿宋_GB2312" w:hAnsi="宋体" w:eastAsia="仿宋_GB2312" w:cs="Arial"/>
          <w:b/>
          <w:color w:val="auto"/>
          <w:sz w:val="28"/>
          <w:szCs w:val="28"/>
        </w:rPr>
        <w:t>、</w:t>
      </w:r>
      <w:r>
        <w:rPr>
          <w:rFonts w:hint="eastAsia" w:ascii="仿宋_GB2312" w:hAnsi="宋体" w:eastAsia="仿宋_GB2312"/>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 xml:space="preserve">朱先生 </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电话：</w:t>
      </w:r>
      <w:r>
        <w:rPr>
          <w:rFonts w:hint="eastAsia" w:ascii="仿宋_GB2312" w:hAnsi="宋体" w:eastAsia="仿宋_GB2312"/>
          <w:color w:val="auto"/>
          <w:sz w:val="28"/>
          <w:szCs w:val="28"/>
          <w:lang w:val="en-US" w:eastAsia="zh-CN"/>
        </w:rPr>
        <w:t xml:space="preserve">67152931 </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w:t>
      </w:r>
      <w:r>
        <w:rPr>
          <w:rFonts w:ascii="仿宋_GB2312" w:hAnsi="宋体" w:eastAsia="仿宋_GB2312"/>
          <w:color w:val="auto"/>
          <w:sz w:val="28"/>
          <w:szCs w:val="28"/>
        </w:rPr>
        <w:t>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ind w:firstLine="280" w:firstLineChars="100"/>
        <w:rPr>
          <w:rFonts w:hint="eastAsia" w:ascii="仿宋_GB2312" w:hAnsi="宋体" w:eastAsia="仿宋_GB2312"/>
          <w:color w:val="auto"/>
          <w:sz w:val="28"/>
          <w:szCs w:val="28"/>
        </w:rPr>
      </w:pPr>
    </w:p>
    <w:p>
      <w:pPr>
        <w:snapToGrid w:val="0"/>
        <w:spacing w:line="360" w:lineRule="auto"/>
        <w:ind w:firstLine="280" w:firstLineChars="100"/>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文件的全部内容，愿意以不含增值税专用发票的总报价：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响应</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响应</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2018 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附件4</w:t>
      </w:r>
    </w:p>
    <w:p>
      <w:pPr>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售后服务承诺书</w:t>
      </w:r>
    </w:p>
    <w:p>
      <w:pPr>
        <w:jc w:val="both"/>
        <w:rPr>
          <w:rFonts w:hint="eastAsia" w:ascii="仿宋" w:hAnsi="仿宋" w:eastAsia="仿宋"/>
          <w:sz w:val="28"/>
          <w:szCs w:val="28"/>
          <w:lang w:val="en-US" w:eastAsia="zh-CN"/>
        </w:rPr>
      </w:pPr>
    </w:p>
    <w:p>
      <w:pPr>
        <w:jc w:val="both"/>
        <w:rPr>
          <w:rFonts w:hint="eastAsia" w:ascii="仿宋" w:hAnsi="仿宋" w:eastAsia="仿宋"/>
          <w:sz w:val="28"/>
          <w:szCs w:val="28"/>
          <w:u w:val="none"/>
          <w:lang w:val="en-US" w:eastAsia="zh-CN"/>
        </w:rPr>
      </w:pP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我单位在</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项目比选中，若有幸成交。我们除承诺履行响应文件中所有的条款外，并郑重承诺：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1、本项目所含产品质保期为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年及以上。</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2、在质保期内及超出质保期后，若甲方需对项目所含产品进行维修，我方人员在接到报修通知（电话通知或书面通知）之时起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小时内到达项目现场。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3、在质保期内所有的维修维保我单位均不收费。超出质保期后的维保不收取人工费用，只收取零配件费用。</w:t>
      </w:r>
    </w:p>
    <w:p>
      <w:pPr>
        <w:ind w:firstLine="560"/>
        <w:jc w:val="both"/>
        <w:rPr>
          <w:rFonts w:hint="eastAsia" w:ascii="仿宋" w:hAnsi="仿宋" w:eastAsia="仿宋"/>
          <w:sz w:val="28"/>
          <w:szCs w:val="28"/>
          <w:u w:val="single"/>
          <w:lang w:val="en-US" w:eastAsia="zh-CN"/>
        </w:rPr>
      </w:pPr>
      <w:r>
        <w:rPr>
          <w:rFonts w:hint="eastAsia" w:ascii="仿宋" w:hAnsi="仿宋" w:eastAsia="仿宋"/>
          <w:sz w:val="28"/>
          <w:szCs w:val="28"/>
          <w:u w:val="none"/>
          <w:lang w:val="en-US" w:eastAsia="zh-CN"/>
        </w:rPr>
        <w:t xml:space="preserve">                承     诺     单    位：（公章）</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lang w:val="en-US" w:eastAsia="zh-CN"/>
        </w:rPr>
        <w:t xml:space="preserve">                    法定代表人或授权代理人（签字）：</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p>
    <w:p>
      <w:pPr>
        <w:jc w:val="both"/>
        <w:rPr>
          <w:rFonts w:hint="eastAsia" w:ascii="仿宋" w:hAnsi="仿宋" w:eastAsia="仿宋"/>
          <w:sz w:val="28"/>
          <w:szCs w:val="28"/>
          <w:lang w:val="en-US" w:eastAsia="zh-CN"/>
        </w:rPr>
      </w:pPr>
      <w:r>
        <w:rPr>
          <w:rFonts w:hint="eastAsia" w:ascii="仿宋" w:hAnsi="仿宋" w:eastAsia="仿宋"/>
          <w:sz w:val="28"/>
          <w:szCs w:val="28"/>
          <w:u w:val="none"/>
          <w:lang w:val="en-US" w:eastAsia="zh-CN"/>
        </w:rPr>
        <w:t xml:space="preserve">                    日     期：</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日 </w:t>
      </w: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ascii="仿宋_GB2312" w:eastAsia="仿宋_GB2312"/>
          <w:b/>
          <w:color w:val="auto"/>
          <w:sz w:val="28"/>
          <w:szCs w:val="28"/>
        </w:rPr>
      </w:pPr>
      <w:r>
        <w:rPr>
          <w:rFonts w:hint="eastAsia" w:ascii="仿宋_GB2312" w:hAnsi="仿宋_GB2312" w:eastAsia="仿宋_GB2312"/>
          <w:color w:val="auto"/>
          <w:sz w:val="28"/>
          <w:szCs w:val="28"/>
          <w:lang w:val="en-US" w:eastAsia="zh-CN"/>
        </w:rPr>
        <w:t>合同样本</w:t>
      </w:r>
      <w:r>
        <w:rPr>
          <w:rFonts w:hint="eastAsia" w:ascii="仿宋_GB2312" w:eastAsia="仿宋_GB2312"/>
          <w:b/>
          <w:color w:val="auto"/>
          <w:sz w:val="28"/>
          <w:szCs w:val="28"/>
        </w:rPr>
        <w:t xml:space="preserve">                         </w:t>
      </w:r>
    </w:p>
    <w:p>
      <w:pPr>
        <w:jc w:val="center"/>
        <w:rPr>
          <w:b/>
          <w:color w:val="auto"/>
          <w:sz w:val="44"/>
        </w:rPr>
      </w:pPr>
      <w:r>
        <w:rPr>
          <w:b/>
          <w:color w:val="auto"/>
          <w:sz w:val="44"/>
        </w:rPr>
        <w:t>________________________</w:t>
      </w:r>
    </w:p>
    <w:p>
      <w:pPr>
        <w:rPr>
          <w:b/>
          <w:color w:val="auto"/>
          <w:sz w:val="44"/>
        </w:rPr>
      </w:pPr>
    </w:p>
    <w:p>
      <w:pPr>
        <w:jc w:val="center"/>
        <w:rPr>
          <w:b/>
          <w:color w:val="auto"/>
          <w:sz w:val="52"/>
        </w:rPr>
      </w:pPr>
      <w:r>
        <w:rPr>
          <w:rFonts w:hint="eastAsia"/>
          <w:b/>
          <w:color w:val="auto"/>
          <w:sz w:val="52"/>
        </w:rPr>
        <w:t>采 购 合 同</w:t>
      </w:r>
    </w:p>
    <w:p>
      <w:pPr>
        <w:jc w:val="center"/>
        <w:rPr>
          <w:b/>
          <w:color w:val="auto"/>
          <w:sz w:val="44"/>
        </w:rPr>
      </w:pPr>
      <w:r>
        <w:rPr>
          <w:b/>
          <w:color w:val="auto"/>
          <w:sz w:val="44"/>
        </w:rPr>
        <w:t>________________________</w:t>
      </w:r>
    </w:p>
    <w:p>
      <w:pPr>
        <w:jc w:val="center"/>
        <w:rPr>
          <w:b/>
          <w:color w:val="auto"/>
          <w:sz w:val="44"/>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rPr>
          <w:rFonts w:ascii="黑体" w:eastAsia="黑体"/>
          <w:color w:val="auto"/>
          <w:sz w:val="36"/>
          <w:szCs w:val="36"/>
          <w:u w:val="single"/>
        </w:rPr>
      </w:pPr>
      <w:r>
        <w:rPr>
          <w:rFonts w:hint="eastAsia" w:ascii="仿宋_GB2312" w:eastAsia="仿宋_GB2312"/>
          <w:b/>
          <w:color w:val="auto"/>
          <w:sz w:val="28"/>
          <w:szCs w:val="28"/>
        </w:rPr>
        <w:t xml:space="preserve">                 </w:t>
      </w:r>
      <w:r>
        <w:rPr>
          <w:rFonts w:hint="eastAsia" w:ascii="黑体" w:eastAsia="黑体"/>
          <w:color w:val="auto"/>
          <w:sz w:val="36"/>
          <w:szCs w:val="36"/>
        </w:rPr>
        <w:t xml:space="preserve">买方： </w:t>
      </w:r>
      <w:r>
        <w:rPr>
          <w:rFonts w:hint="eastAsia" w:ascii="黑体" w:eastAsia="黑体"/>
          <w:color w:val="auto"/>
          <w:sz w:val="36"/>
          <w:szCs w:val="36"/>
          <w:u w:val="single"/>
        </w:rPr>
        <w:t xml:space="preserve">                 </w:t>
      </w:r>
      <w:r>
        <w:rPr>
          <w:rFonts w:hint="eastAsia" w:ascii="黑体" w:eastAsia="黑体"/>
          <w:color w:val="auto"/>
          <w:sz w:val="36"/>
          <w:szCs w:val="36"/>
        </w:rPr>
        <w:t xml:space="preserve">             </w:t>
      </w:r>
    </w:p>
    <w:p>
      <w:pPr>
        <w:spacing w:line="360" w:lineRule="auto"/>
        <w:rPr>
          <w:rFonts w:ascii="黑体" w:eastAsia="黑体"/>
          <w:color w:val="auto"/>
          <w:sz w:val="36"/>
          <w:szCs w:val="36"/>
        </w:rPr>
      </w:pPr>
      <w:r>
        <w:rPr>
          <w:rFonts w:hint="eastAsia" w:ascii="黑体" w:eastAsia="黑体"/>
          <w:color w:val="auto"/>
          <w:sz w:val="36"/>
          <w:szCs w:val="36"/>
        </w:rPr>
        <w:t xml:space="preserve">    </w:t>
      </w:r>
    </w:p>
    <w:p>
      <w:pPr>
        <w:spacing w:line="360" w:lineRule="auto"/>
        <w:rPr>
          <w:rFonts w:ascii="黑体" w:eastAsia="黑体"/>
          <w:color w:val="auto"/>
          <w:sz w:val="36"/>
          <w:szCs w:val="36"/>
          <w:u w:val="single"/>
        </w:rPr>
      </w:pPr>
      <w:r>
        <w:rPr>
          <w:rFonts w:hint="eastAsia" w:ascii="黑体" w:eastAsia="黑体"/>
          <w:color w:val="auto"/>
          <w:sz w:val="36"/>
          <w:szCs w:val="36"/>
        </w:rPr>
        <w:t xml:space="preserve">             卖方： </w:t>
      </w:r>
      <w:r>
        <w:rPr>
          <w:rFonts w:hint="eastAsia" w:ascii="黑体" w:eastAsia="黑体"/>
          <w:color w:val="auto"/>
          <w:sz w:val="36"/>
          <w:szCs w:val="36"/>
          <w:u w:val="single"/>
        </w:rPr>
        <w:t xml:space="preserve">                  </w:t>
      </w:r>
    </w:p>
    <w:p>
      <w:pPr>
        <w:spacing w:line="360" w:lineRule="auto"/>
        <w:jc w:val="center"/>
        <w:rPr>
          <w:rFonts w:ascii="仿宋_GB2312" w:eastAsia="仿宋_GB2312"/>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pStyle w:val="2"/>
        <w:spacing w:line="360" w:lineRule="auto"/>
        <w:ind w:firstLine="3420" w:firstLineChars="950"/>
        <w:rPr>
          <w:rFonts w:hint="eastAsia" w:ascii="黑体" w:eastAsia="黑体"/>
          <w:b w:val="0"/>
          <w:color w:val="auto"/>
          <w:sz w:val="36"/>
          <w:szCs w:val="36"/>
        </w:rPr>
      </w:pPr>
    </w:p>
    <w:p>
      <w:pPr>
        <w:pStyle w:val="2"/>
        <w:spacing w:line="360" w:lineRule="auto"/>
        <w:ind w:firstLine="3420" w:firstLineChars="950"/>
        <w:rPr>
          <w:rFonts w:ascii="黑体" w:eastAsia="黑体"/>
          <w:b w:val="0"/>
          <w:color w:val="auto"/>
          <w:sz w:val="36"/>
          <w:szCs w:val="36"/>
        </w:rPr>
      </w:pPr>
      <w:r>
        <w:rPr>
          <w:rFonts w:hint="eastAsia" w:ascii="黑体" w:eastAsia="黑体"/>
          <w:b w:val="0"/>
          <w:color w:val="auto"/>
          <w:sz w:val="36"/>
          <w:szCs w:val="36"/>
        </w:rPr>
        <w:t>采 购 合 同</w:t>
      </w:r>
    </w:p>
    <w:p>
      <w:pPr>
        <w:rPr>
          <w:rFonts w:ascii="仿宋_GB2312" w:eastAsia="仿宋_GB2312"/>
          <w:color w:val="auto"/>
          <w:sz w:val="28"/>
          <w:szCs w:val="28"/>
        </w:rPr>
      </w:pP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买方名称：                     （以下称甲方）</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 xml:space="preserve">地    址： </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邮    编：</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联 系 人：</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电    话：</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传    真：</w:t>
      </w:r>
    </w:p>
    <w:p>
      <w:pPr>
        <w:spacing w:line="360" w:lineRule="auto"/>
        <w:rPr>
          <w:rFonts w:ascii="仿宋_GB2312" w:eastAsia="仿宋_GB2312"/>
          <w:bCs/>
          <w:color w:val="auto"/>
          <w:sz w:val="28"/>
          <w:szCs w:val="28"/>
        </w:rPr>
      </w:pP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卖方名称：                     （以下称乙方）</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 xml:space="preserve">地    址： </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邮    编：</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联 系 人：</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电    话：</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传    真：</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开户银行：</w:t>
      </w:r>
    </w:p>
    <w:p>
      <w:pPr>
        <w:spacing w:line="360" w:lineRule="auto"/>
        <w:rPr>
          <w:rFonts w:ascii="仿宋_GB2312" w:eastAsia="仿宋_GB2312"/>
          <w:bCs/>
          <w:color w:val="auto"/>
          <w:sz w:val="28"/>
          <w:szCs w:val="28"/>
        </w:rPr>
      </w:pPr>
      <w:r>
        <w:rPr>
          <w:rFonts w:hint="eastAsia" w:ascii="仿宋_GB2312" w:eastAsia="仿宋_GB2312"/>
          <w:bCs/>
          <w:color w:val="auto"/>
          <w:sz w:val="28"/>
          <w:szCs w:val="28"/>
        </w:rPr>
        <w:t>帐    号：</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甲乙双方根据《中华人民共和国合同法》及相关的法律法规之规定，本着友好合作、协商一致的原则，就甲方向乙方</w:t>
      </w:r>
      <w:r>
        <w:rPr>
          <w:rFonts w:hint="eastAsia" w:ascii="仿宋_GB2312" w:eastAsia="仿宋_GB2312"/>
          <w:color w:val="auto"/>
          <w:sz w:val="28"/>
          <w:szCs w:val="28"/>
          <w:lang w:val="en-US" w:eastAsia="zh-CN"/>
        </w:rPr>
        <w:t>购买消防员个人防护装备</w:t>
      </w:r>
      <w:r>
        <w:rPr>
          <w:rFonts w:hint="eastAsia" w:ascii="仿宋_GB2312" w:eastAsia="仿宋_GB2312"/>
          <w:color w:val="auto"/>
          <w:sz w:val="28"/>
          <w:szCs w:val="28"/>
        </w:rPr>
        <w:t>事宜达成协议如下：</w:t>
      </w:r>
    </w:p>
    <w:p>
      <w:pPr>
        <w:spacing w:line="360" w:lineRule="auto"/>
        <w:ind w:left="-540" w:leftChars="-257" w:firstLine="630" w:firstLineChars="224"/>
        <w:rPr>
          <w:rFonts w:ascii="仿宋_GB2312" w:hAnsi="宋体" w:eastAsia="仿宋_GB2312"/>
          <w:b/>
          <w:bCs/>
          <w:color w:val="auto"/>
          <w:sz w:val="28"/>
          <w:szCs w:val="28"/>
        </w:rPr>
      </w:pPr>
      <w:r>
        <w:rPr>
          <w:rFonts w:hint="eastAsia" w:ascii="仿宋_GB2312" w:hAnsi="宋体" w:eastAsia="仿宋_GB2312"/>
          <w:b/>
          <w:bCs/>
          <w:color w:val="auto"/>
          <w:sz w:val="28"/>
          <w:szCs w:val="28"/>
        </w:rPr>
        <w:t>1.释义（除非文本另有不同要求）</w:t>
      </w:r>
    </w:p>
    <w:p>
      <w:pPr>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 xml:space="preserve">1.1文中“双方”指甲方和乙方，“一方”指甲方和乙方中的任何一方。 </w:t>
      </w:r>
    </w:p>
    <w:p>
      <w:pPr>
        <w:spacing w:line="360" w:lineRule="auto"/>
        <w:ind w:left="-540" w:leftChars="-257" w:firstLine="630" w:firstLineChars="225"/>
        <w:rPr>
          <w:rFonts w:ascii="仿宋_GB2312" w:eastAsia="仿宋_GB2312"/>
          <w:color w:val="auto"/>
          <w:sz w:val="28"/>
          <w:szCs w:val="28"/>
        </w:rPr>
      </w:pPr>
      <w:r>
        <w:rPr>
          <w:rFonts w:hint="eastAsia" w:ascii="仿宋_GB2312" w:eastAsia="仿宋_GB2312"/>
          <w:color w:val="auto"/>
          <w:sz w:val="28"/>
          <w:szCs w:val="28"/>
        </w:rPr>
        <w:t>1.2文中所涉及费用均以人民币“元”为计量单位。</w:t>
      </w:r>
    </w:p>
    <w:p>
      <w:pPr>
        <w:spacing w:line="360" w:lineRule="auto"/>
        <w:rPr>
          <w:rFonts w:ascii="仿宋_GB2312" w:eastAsia="仿宋_GB2312"/>
          <w:color w:val="auto"/>
          <w:sz w:val="28"/>
          <w:szCs w:val="28"/>
        </w:rPr>
      </w:pPr>
      <w:r>
        <w:rPr>
          <w:rFonts w:hint="eastAsia" w:ascii="仿宋_GB2312" w:eastAsia="仿宋_GB2312"/>
          <w:color w:val="auto"/>
          <w:sz w:val="28"/>
          <w:szCs w:val="28"/>
        </w:rPr>
        <w:t>1.3文中“年、月、日”均指公历年、月、日。</w:t>
      </w:r>
    </w:p>
    <w:p>
      <w:pPr>
        <w:spacing w:line="360" w:lineRule="auto"/>
        <w:ind w:left="-2"/>
        <w:rPr>
          <w:rFonts w:ascii="仿宋_GB2312" w:hAnsi="宋体" w:eastAsia="仿宋_GB2312"/>
          <w:b/>
          <w:bCs/>
          <w:color w:val="auto"/>
          <w:sz w:val="28"/>
          <w:szCs w:val="28"/>
        </w:rPr>
      </w:pPr>
      <w:r>
        <w:rPr>
          <w:rFonts w:hint="eastAsia" w:ascii="仿宋_GB2312" w:eastAsia="仿宋_GB2312"/>
          <w:b/>
          <w:bCs/>
          <w:color w:val="auto"/>
          <w:sz w:val="28"/>
          <w:szCs w:val="28"/>
        </w:rPr>
        <w:t>2.</w:t>
      </w:r>
      <w:r>
        <w:rPr>
          <w:rFonts w:hint="eastAsia" w:ascii="仿宋_GB2312" w:hAnsi="宋体" w:eastAsia="仿宋_GB2312"/>
          <w:b/>
          <w:bCs/>
          <w:color w:val="auto"/>
          <w:sz w:val="28"/>
          <w:szCs w:val="28"/>
        </w:rPr>
        <w:t>合同标的</w:t>
      </w:r>
    </w:p>
    <w:p>
      <w:pPr>
        <w:spacing w:line="360" w:lineRule="auto"/>
        <w:rPr>
          <w:rFonts w:ascii="仿宋_GB2312" w:eastAsia="仿宋_GB2312"/>
          <w:color w:val="auto"/>
          <w:sz w:val="28"/>
          <w:szCs w:val="28"/>
        </w:rPr>
      </w:pPr>
      <w:r>
        <w:rPr>
          <w:rFonts w:hint="eastAsia" w:ascii="仿宋_GB2312" w:eastAsia="仿宋_GB2312"/>
          <w:color w:val="auto"/>
          <w:sz w:val="28"/>
          <w:szCs w:val="28"/>
        </w:rPr>
        <w:t>2.1甲方向乙方</w:t>
      </w:r>
      <w:r>
        <w:rPr>
          <w:rFonts w:hint="eastAsia" w:ascii="仿宋_GB2312" w:eastAsia="仿宋_GB2312"/>
          <w:color w:val="auto"/>
          <w:sz w:val="28"/>
          <w:szCs w:val="28"/>
          <w:lang w:val="en-US" w:eastAsia="zh-CN"/>
        </w:rPr>
        <w:t>购买消防员个人防护装备</w:t>
      </w:r>
      <w:r>
        <w:rPr>
          <w:rFonts w:hint="eastAsia" w:ascii="仿宋_GB2312" w:eastAsia="仿宋_GB2312"/>
          <w:color w:val="auto"/>
          <w:sz w:val="28"/>
          <w:szCs w:val="28"/>
        </w:rPr>
        <w:t>。</w:t>
      </w:r>
    </w:p>
    <w:p>
      <w:pPr>
        <w:spacing w:line="360" w:lineRule="auto"/>
        <w:rPr>
          <w:rFonts w:ascii="仿宋_GB2312" w:eastAsia="仿宋_GB2312"/>
          <w:b/>
          <w:color w:val="auto"/>
          <w:sz w:val="28"/>
          <w:szCs w:val="28"/>
        </w:rPr>
      </w:pPr>
      <w:r>
        <w:rPr>
          <w:rFonts w:hint="eastAsia" w:ascii="仿宋_GB2312" w:eastAsia="仿宋_GB2312"/>
          <w:b/>
          <w:color w:val="auto"/>
          <w:sz w:val="28"/>
          <w:szCs w:val="28"/>
        </w:rPr>
        <w:t>2.2产品购置的规格、型号（见采购清单）</w:t>
      </w:r>
    </w:p>
    <w:p>
      <w:pPr>
        <w:spacing w:line="360" w:lineRule="auto"/>
        <w:rPr>
          <w:rFonts w:ascii="仿宋_GB2312" w:eastAsia="仿宋_GB2312"/>
          <w:color w:val="auto"/>
          <w:sz w:val="28"/>
          <w:szCs w:val="28"/>
        </w:rPr>
      </w:pPr>
      <w:r>
        <w:rPr>
          <w:rFonts w:hint="eastAsia" w:ascii="仿宋_GB2312" w:eastAsia="仿宋_GB2312"/>
          <w:color w:val="auto"/>
          <w:sz w:val="28"/>
          <w:szCs w:val="28"/>
        </w:rPr>
        <w:t>2.3乙方应向甲方免费提供上述产品的送货等满足甲方需求的服务。</w:t>
      </w:r>
    </w:p>
    <w:p>
      <w:pPr>
        <w:spacing w:line="360" w:lineRule="auto"/>
        <w:rPr>
          <w:rFonts w:ascii="仿宋_GB2312" w:eastAsia="仿宋_GB2312"/>
          <w:color w:val="auto"/>
          <w:sz w:val="28"/>
          <w:szCs w:val="28"/>
        </w:rPr>
      </w:pPr>
      <w:r>
        <w:rPr>
          <w:rFonts w:hint="eastAsia" w:ascii="仿宋_GB2312" w:eastAsia="仿宋_GB2312"/>
          <w:color w:val="auto"/>
          <w:sz w:val="28"/>
          <w:szCs w:val="28"/>
        </w:rPr>
        <w:t>2.4采购清单的补充及更新</w:t>
      </w:r>
    </w:p>
    <w:p>
      <w:pPr>
        <w:spacing w:line="360" w:lineRule="auto"/>
        <w:rPr>
          <w:rFonts w:ascii="仿宋_GB2312" w:eastAsia="仿宋_GB2312"/>
          <w:color w:val="auto"/>
          <w:sz w:val="28"/>
          <w:szCs w:val="28"/>
        </w:rPr>
      </w:pPr>
      <w:r>
        <w:rPr>
          <w:rFonts w:hint="eastAsia" w:ascii="仿宋_GB2312" w:eastAsia="仿宋_GB2312"/>
          <w:color w:val="auto"/>
          <w:sz w:val="28"/>
          <w:szCs w:val="28"/>
        </w:rPr>
        <w:t>甲方会根据内部需求及乙方提供的新产品情况对采购清单进行补充和更新。</w:t>
      </w:r>
    </w:p>
    <w:p>
      <w:pPr>
        <w:spacing w:line="360" w:lineRule="auto"/>
        <w:rPr>
          <w:rFonts w:ascii="仿宋_GB2312" w:eastAsia="仿宋_GB2312"/>
          <w:b/>
          <w:bCs/>
          <w:color w:val="auto"/>
          <w:sz w:val="28"/>
          <w:szCs w:val="28"/>
        </w:rPr>
      </w:pPr>
      <w:r>
        <w:rPr>
          <w:rFonts w:hint="eastAsia" w:ascii="仿宋_GB2312" w:eastAsia="仿宋_GB2312"/>
          <w:b/>
          <w:bCs/>
          <w:color w:val="auto"/>
          <w:sz w:val="28"/>
          <w:szCs w:val="28"/>
        </w:rPr>
        <w:t>3.合同价款</w:t>
      </w:r>
    </w:p>
    <w:p>
      <w:pPr>
        <w:spacing w:line="360" w:lineRule="auto"/>
        <w:ind w:left="-2"/>
        <w:rPr>
          <w:rFonts w:ascii="仿宋_GB2312" w:eastAsia="仿宋_GB2312"/>
          <w:color w:val="auto"/>
          <w:sz w:val="28"/>
          <w:szCs w:val="28"/>
        </w:rPr>
      </w:pPr>
      <w:r>
        <w:rPr>
          <w:rFonts w:hint="eastAsia" w:ascii="仿宋_GB2312" w:eastAsia="仿宋_GB2312"/>
          <w:color w:val="auto"/>
          <w:sz w:val="28"/>
          <w:szCs w:val="28"/>
        </w:rPr>
        <w:t>3.1单价及总价（采购清单）</w:t>
      </w:r>
    </w:p>
    <w:tbl>
      <w:tblPr>
        <w:tblStyle w:val="1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19"/>
        <w:gridCol w:w="990"/>
        <w:gridCol w:w="1095"/>
        <w:gridCol w:w="1272"/>
        <w:gridCol w:w="105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8"/>
                <w:szCs w:val="28"/>
                <w:vertAlign w:val="baseline"/>
                <w:lang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8"/>
                <w:szCs w:val="28"/>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8"/>
                <w:szCs w:val="28"/>
                <w:vertAlign w:val="baseline"/>
                <w:lang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0" w:lineRule="atLeast"/>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2919"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c>
          <w:tcPr>
            <w:tcW w:w="990"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sz w:val="24"/>
                <w:szCs w:val="24"/>
                <w:vertAlign w:val="baseline"/>
                <w:lang w:eastAsia="zh-CN"/>
              </w:rPr>
            </w:pPr>
          </w:p>
        </w:tc>
        <w:tc>
          <w:tcPr>
            <w:tcW w:w="109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p>
        </w:tc>
        <w:tc>
          <w:tcPr>
            <w:tcW w:w="1272"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55"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default" w:ascii="仿宋_GB2312" w:hAnsi="仿宋_GB2312" w:eastAsia="仿宋_GB2312" w:cs="仿宋_GB2312"/>
                <w:sz w:val="24"/>
                <w:szCs w:val="24"/>
                <w:vertAlign w:val="baseline"/>
                <w:lang w:val="en-US" w:eastAsia="zh-CN"/>
              </w:rPr>
            </w:pPr>
          </w:p>
        </w:tc>
        <w:tc>
          <w:tcPr>
            <w:tcW w:w="1063"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8394" w:type="dxa"/>
            <w:gridSpan w:val="6"/>
          </w:tcPr>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p>
        </w:tc>
      </w:tr>
    </w:tbl>
    <w:p>
      <w:pPr>
        <w:spacing w:line="360" w:lineRule="auto"/>
        <w:rPr>
          <w:rFonts w:ascii="仿宋_GB2312" w:eastAsia="仿宋_GB2312"/>
          <w:color w:val="auto"/>
          <w:sz w:val="28"/>
          <w:szCs w:val="28"/>
        </w:rPr>
      </w:pPr>
      <w:r>
        <w:rPr>
          <w:rFonts w:hint="eastAsia" w:ascii="仿宋_GB2312" w:eastAsia="仿宋_GB2312"/>
          <w:color w:val="auto"/>
          <w:sz w:val="28"/>
          <w:szCs w:val="28"/>
        </w:rPr>
        <w:t>3.2本合同货款单价已包括货物移交至甲方所需的一切</w:t>
      </w:r>
      <w:r>
        <w:rPr>
          <w:rFonts w:hint="eastAsia" w:ascii="仿宋_GB2312" w:eastAsia="仿宋_GB2312"/>
          <w:color w:val="auto"/>
          <w:sz w:val="28"/>
          <w:szCs w:val="28"/>
          <w:lang w:val="en-US" w:eastAsia="zh-CN"/>
        </w:rPr>
        <w:t>运费、</w:t>
      </w:r>
      <w:r>
        <w:rPr>
          <w:rFonts w:hint="eastAsia" w:ascii="仿宋_GB2312" w:eastAsia="仿宋_GB2312"/>
          <w:color w:val="auto"/>
          <w:sz w:val="28"/>
          <w:szCs w:val="28"/>
        </w:rPr>
        <w:t>税费。</w:t>
      </w:r>
    </w:p>
    <w:p>
      <w:pPr>
        <w:spacing w:line="360" w:lineRule="auto"/>
        <w:ind w:left="-2"/>
        <w:rPr>
          <w:rFonts w:ascii="仿宋_GB2312" w:hAnsi="宋体" w:eastAsia="仿宋_GB2312"/>
          <w:b/>
          <w:bCs/>
          <w:color w:val="auto"/>
          <w:sz w:val="28"/>
          <w:szCs w:val="28"/>
        </w:rPr>
      </w:pPr>
      <w:r>
        <w:rPr>
          <w:rFonts w:hint="eastAsia" w:ascii="仿宋_GB2312" w:eastAsia="仿宋_GB2312"/>
          <w:b/>
          <w:bCs/>
          <w:color w:val="auto"/>
          <w:sz w:val="28"/>
          <w:szCs w:val="28"/>
        </w:rPr>
        <w:t>4.</w:t>
      </w:r>
      <w:r>
        <w:rPr>
          <w:rFonts w:hint="eastAsia" w:ascii="仿宋_GB2312" w:hAnsi="宋体" w:eastAsia="仿宋_GB2312"/>
          <w:b/>
          <w:bCs/>
          <w:color w:val="auto"/>
          <w:sz w:val="28"/>
          <w:szCs w:val="28"/>
        </w:rPr>
        <w:t>支付方式</w:t>
      </w:r>
    </w:p>
    <w:p>
      <w:pPr>
        <w:spacing w:line="360" w:lineRule="auto"/>
        <w:rPr>
          <w:rFonts w:ascii="仿宋_GB2312" w:eastAsia="仿宋_GB2312"/>
          <w:color w:val="auto"/>
          <w:sz w:val="28"/>
          <w:szCs w:val="28"/>
        </w:rPr>
      </w:pPr>
      <w:r>
        <w:rPr>
          <w:rFonts w:hint="eastAsia" w:ascii="仿宋_GB2312" w:eastAsia="仿宋_GB2312"/>
          <w:color w:val="auto"/>
          <w:sz w:val="28"/>
          <w:szCs w:val="28"/>
        </w:rPr>
        <w:t>4.1乙方负责将产品运</w:t>
      </w:r>
      <w:r>
        <w:rPr>
          <w:rFonts w:hint="eastAsia" w:ascii="仿宋_GB2312" w:eastAsia="仿宋_GB2312"/>
          <w:color w:val="auto"/>
          <w:sz w:val="28"/>
          <w:szCs w:val="28"/>
          <w:lang w:val="en-US" w:eastAsia="zh-CN"/>
        </w:rPr>
        <w:t>送</w:t>
      </w:r>
      <w:r>
        <w:rPr>
          <w:rFonts w:hint="eastAsia" w:ascii="仿宋_GB2312" w:eastAsia="仿宋_GB2312"/>
          <w:color w:val="auto"/>
          <w:sz w:val="28"/>
          <w:szCs w:val="28"/>
        </w:rPr>
        <w:t>到甲方指定地点，</w:t>
      </w:r>
      <w:r>
        <w:rPr>
          <w:rFonts w:hint="eastAsia" w:ascii="仿宋_GB2312" w:eastAsia="仿宋_GB2312"/>
          <w:color w:val="auto"/>
          <w:sz w:val="28"/>
          <w:szCs w:val="28"/>
          <w:lang w:val="en-US" w:eastAsia="zh-CN"/>
        </w:rPr>
        <w:t>经甲方</w:t>
      </w:r>
      <w:r>
        <w:rPr>
          <w:rFonts w:hint="eastAsia" w:ascii="仿宋_GB2312" w:eastAsia="仿宋_GB2312"/>
          <w:color w:val="auto"/>
          <w:sz w:val="28"/>
          <w:szCs w:val="28"/>
        </w:rPr>
        <w:t>验收合格后</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乙方出具税率为</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none"/>
          <w:lang w:val="en-US" w:eastAsia="zh-CN"/>
        </w:rPr>
        <w:t>%的</w:t>
      </w:r>
      <w:r>
        <w:rPr>
          <w:rFonts w:hint="eastAsia" w:ascii="仿宋_GB2312" w:eastAsia="仿宋_GB2312"/>
          <w:color w:val="auto"/>
          <w:sz w:val="28"/>
          <w:szCs w:val="28"/>
          <w:lang w:val="en-US" w:eastAsia="zh-CN"/>
        </w:rPr>
        <w:t>增值税专用发票，</w:t>
      </w:r>
      <w:r>
        <w:rPr>
          <w:rFonts w:hint="eastAsia" w:ascii="仿宋_GB2312" w:eastAsia="仿宋_GB2312"/>
          <w:color w:val="auto"/>
          <w:sz w:val="28"/>
          <w:szCs w:val="28"/>
        </w:rPr>
        <w:t>甲方在20个工作日内向乙方支付</w:t>
      </w:r>
      <w:r>
        <w:rPr>
          <w:rFonts w:hint="eastAsia" w:ascii="仿宋_GB2312" w:eastAsia="仿宋_GB2312"/>
          <w:color w:val="auto"/>
          <w:sz w:val="28"/>
          <w:szCs w:val="28"/>
          <w:lang w:val="en-US" w:eastAsia="zh-CN"/>
        </w:rPr>
        <w:t>货款，</w:t>
      </w:r>
      <w:r>
        <w:rPr>
          <w:rFonts w:hint="eastAsia" w:ascii="仿宋_GB2312" w:eastAsia="仿宋_GB2312"/>
          <w:color w:val="auto"/>
          <w:sz w:val="28"/>
          <w:szCs w:val="28"/>
          <w:lang w:eastAsia="zh-CN"/>
        </w:rPr>
        <w:t>甲方支付金额=不含增值税金额+增值税税额</w:t>
      </w:r>
      <w:r>
        <w:rPr>
          <w:rFonts w:hint="eastAsia" w:ascii="仿宋_GB2312" w:eastAsia="仿宋_GB2312"/>
          <w:color w:val="auto"/>
          <w:sz w:val="28"/>
          <w:szCs w:val="28"/>
        </w:rPr>
        <w:t>。</w:t>
      </w:r>
    </w:p>
    <w:p>
      <w:pPr>
        <w:pStyle w:val="11"/>
        <w:spacing w:line="360" w:lineRule="auto"/>
        <w:ind w:hanging="2"/>
        <w:rPr>
          <w:rFonts w:ascii="仿宋_GB2312" w:hAnsi="宋体" w:eastAsia="仿宋_GB2312"/>
          <w:b/>
          <w:bCs/>
          <w:color w:val="auto"/>
          <w:sz w:val="28"/>
          <w:szCs w:val="28"/>
        </w:rPr>
      </w:pPr>
      <w:r>
        <w:rPr>
          <w:rFonts w:hint="eastAsia" w:ascii="仿宋_GB2312" w:hAnsi="宋体" w:eastAsia="仿宋_GB2312"/>
          <w:b/>
          <w:bCs/>
          <w:color w:val="auto"/>
          <w:sz w:val="28"/>
          <w:szCs w:val="28"/>
        </w:rPr>
        <w:t>5.包装及运输</w:t>
      </w:r>
    </w:p>
    <w:p>
      <w:pPr>
        <w:spacing w:line="360" w:lineRule="auto"/>
        <w:rPr>
          <w:rFonts w:ascii="仿宋_GB2312" w:hAnsi="宋体" w:eastAsia="仿宋_GB2312"/>
          <w:color w:val="auto"/>
          <w:sz w:val="28"/>
          <w:szCs w:val="28"/>
        </w:rPr>
      </w:pPr>
      <w:r>
        <w:rPr>
          <w:rFonts w:hint="eastAsia" w:ascii="仿宋_GB2312" w:eastAsia="仿宋_GB2312"/>
          <w:color w:val="auto"/>
          <w:sz w:val="28"/>
          <w:szCs w:val="28"/>
        </w:rPr>
        <w:t>5.1</w:t>
      </w:r>
      <w:r>
        <w:rPr>
          <w:rFonts w:hint="eastAsia" w:ascii="仿宋_GB2312" w:hAnsi="宋体" w:eastAsia="仿宋_GB2312"/>
          <w:color w:val="auto"/>
          <w:sz w:val="28"/>
          <w:szCs w:val="28"/>
        </w:rPr>
        <w:t>乙方应为产品提供适宜产品运输的包装方式，产品采用密封性形式，包装上应注明</w:t>
      </w:r>
      <w:r>
        <w:rPr>
          <w:rFonts w:hint="eastAsia" w:ascii="仿宋_GB2312" w:eastAsia="仿宋_GB2312"/>
          <w:color w:val="auto"/>
          <w:sz w:val="28"/>
          <w:szCs w:val="28"/>
        </w:rPr>
        <w:t>防潮,防湿,防震,防锈,耐粗暴搬运,对于由于包装不良所发生的损失及由于采用不充分或不妥善的防护措施而造成的任何</w:t>
      </w:r>
      <w:r>
        <w:rPr>
          <w:rFonts w:hint="eastAsia" w:ascii="仿宋_GB2312" w:eastAsia="仿宋_GB2312"/>
          <w:color w:val="auto"/>
          <w:sz w:val="28"/>
          <w:szCs w:val="28"/>
          <w:lang w:val="en-US" w:eastAsia="zh-CN"/>
        </w:rPr>
        <w:t>破</w:t>
      </w:r>
      <w:r>
        <w:rPr>
          <w:rFonts w:hint="eastAsia" w:ascii="仿宋_GB2312" w:eastAsia="仿宋_GB2312"/>
          <w:color w:val="auto"/>
          <w:sz w:val="28"/>
          <w:szCs w:val="28"/>
        </w:rPr>
        <w:t>损,乙方应承担由此而产生的一切费用和损失。</w:t>
      </w:r>
    </w:p>
    <w:p>
      <w:pPr>
        <w:pStyle w:val="11"/>
        <w:spacing w:line="360" w:lineRule="auto"/>
        <w:ind w:hanging="2"/>
        <w:jc w:val="both"/>
        <w:rPr>
          <w:rFonts w:ascii="仿宋_GB2312" w:hAnsi="宋体" w:eastAsia="仿宋_GB2312"/>
          <w:color w:val="auto"/>
          <w:sz w:val="28"/>
          <w:szCs w:val="28"/>
        </w:rPr>
      </w:pPr>
      <w:r>
        <w:rPr>
          <w:rFonts w:hint="eastAsia" w:ascii="仿宋_GB2312" w:hAnsi="Times New Roman" w:eastAsia="仿宋_GB2312" w:cs="Times New Roman"/>
          <w:color w:val="auto"/>
          <w:sz w:val="28"/>
          <w:szCs w:val="28"/>
        </w:rPr>
        <w:t>5.2</w:t>
      </w:r>
      <w:r>
        <w:rPr>
          <w:rFonts w:hint="eastAsia" w:ascii="仿宋_GB2312" w:hAnsi="宋体" w:eastAsia="仿宋_GB2312"/>
          <w:color w:val="auto"/>
          <w:sz w:val="28"/>
          <w:szCs w:val="28"/>
        </w:rPr>
        <w:t>乙方负责无偿将商品运送至甲方指定地点。运输过程中，商品毁损、灭失的风险由乙方承担。</w:t>
      </w:r>
    </w:p>
    <w:p>
      <w:pPr>
        <w:tabs>
          <w:tab w:val="left" w:pos="600"/>
        </w:tabs>
        <w:spacing w:line="360" w:lineRule="auto"/>
        <w:ind w:left="-2"/>
        <w:rPr>
          <w:rFonts w:ascii="仿宋_GB2312" w:hAnsi="宋体" w:eastAsia="仿宋_GB2312"/>
          <w:color w:val="auto"/>
          <w:sz w:val="28"/>
          <w:szCs w:val="28"/>
        </w:rPr>
      </w:pPr>
      <w:r>
        <w:rPr>
          <w:rFonts w:hint="eastAsia" w:ascii="仿宋_GB2312" w:eastAsia="仿宋_GB2312"/>
          <w:color w:val="auto"/>
          <w:sz w:val="28"/>
          <w:szCs w:val="28"/>
        </w:rPr>
        <w:t>5.3</w:t>
      </w:r>
      <w:r>
        <w:rPr>
          <w:rFonts w:hint="eastAsia" w:ascii="仿宋_GB2312" w:hAnsi="宋体" w:eastAsia="仿宋_GB2312"/>
          <w:color w:val="auto"/>
          <w:sz w:val="28"/>
          <w:szCs w:val="28"/>
        </w:rPr>
        <w:t>商品运送至甲方指定地点后，由甲乙双方共同对商品进行检验，产品若无需安装调试的，双方及时办理移交手续。移交后，商品毁损、灭失的风险由甲方承担。</w:t>
      </w:r>
    </w:p>
    <w:p>
      <w:pPr>
        <w:spacing w:line="360" w:lineRule="auto"/>
        <w:rPr>
          <w:rFonts w:ascii="仿宋_GB2312" w:hAnsi="宋体" w:eastAsia="仿宋_GB2312"/>
          <w:color w:val="auto"/>
          <w:sz w:val="28"/>
          <w:szCs w:val="28"/>
        </w:rPr>
      </w:pPr>
      <w:r>
        <w:rPr>
          <w:rFonts w:hint="eastAsia" w:ascii="仿宋_GB2312" w:eastAsia="仿宋_GB2312"/>
          <w:color w:val="auto"/>
          <w:sz w:val="28"/>
          <w:szCs w:val="28"/>
        </w:rPr>
        <w:t>5.4</w:t>
      </w:r>
      <w:r>
        <w:rPr>
          <w:rFonts w:hint="eastAsia" w:ascii="仿宋_GB2312" w:hAnsi="宋体" w:eastAsia="仿宋_GB2312"/>
          <w:color w:val="auto"/>
          <w:sz w:val="28"/>
          <w:szCs w:val="28"/>
        </w:rPr>
        <w:t>运输费用由乙方承担。</w:t>
      </w:r>
    </w:p>
    <w:p>
      <w:pPr>
        <w:tabs>
          <w:tab w:val="left" w:pos="600"/>
        </w:tabs>
        <w:spacing w:line="360" w:lineRule="auto"/>
        <w:ind w:left="-2"/>
        <w:rPr>
          <w:rFonts w:ascii="仿宋_GB2312" w:hAnsi="宋体" w:eastAsia="仿宋_GB2312"/>
          <w:b/>
          <w:bCs/>
          <w:color w:val="auto"/>
          <w:sz w:val="28"/>
          <w:szCs w:val="28"/>
        </w:rPr>
      </w:pPr>
      <w:r>
        <w:rPr>
          <w:rFonts w:hint="eastAsia" w:ascii="仿宋_GB2312" w:eastAsia="仿宋_GB2312"/>
          <w:b/>
          <w:bCs/>
          <w:color w:val="auto"/>
          <w:sz w:val="28"/>
          <w:szCs w:val="28"/>
        </w:rPr>
        <w:t>6.</w:t>
      </w:r>
      <w:r>
        <w:rPr>
          <w:rFonts w:hint="eastAsia" w:ascii="仿宋_GB2312" w:hAnsi="宋体" w:eastAsia="仿宋_GB2312"/>
          <w:b/>
          <w:bCs/>
          <w:color w:val="auto"/>
          <w:sz w:val="28"/>
          <w:szCs w:val="28"/>
        </w:rPr>
        <w:t>交货地点、交货期限</w:t>
      </w:r>
    </w:p>
    <w:p>
      <w:pPr>
        <w:tabs>
          <w:tab w:val="left" w:pos="600"/>
        </w:tabs>
        <w:spacing w:line="360" w:lineRule="auto"/>
        <w:ind w:left="-2"/>
        <w:rPr>
          <w:rFonts w:ascii="仿宋_GB2312" w:eastAsia="仿宋_GB2312"/>
          <w:color w:val="auto"/>
          <w:sz w:val="28"/>
          <w:szCs w:val="28"/>
        </w:rPr>
      </w:pPr>
      <w:r>
        <w:rPr>
          <w:rFonts w:hint="eastAsia" w:ascii="仿宋_GB2312" w:eastAsia="仿宋_GB2312"/>
          <w:color w:val="auto"/>
          <w:sz w:val="28"/>
          <w:szCs w:val="28"/>
        </w:rPr>
        <w:t>6.1交货地点：重庆江北国际机场指定地点</w:t>
      </w:r>
    </w:p>
    <w:p>
      <w:pPr>
        <w:tabs>
          <w:tab w:val="left" w:pos="600"/>
        </w:tabs>
        <w:spacing w:line="360" w:lineRule="auto"/>
        <w:ind w:left="-2"/>
        <w:rPr>
          <w:rFonts w:ascii="仿宋_GB2312" w:eastAsia="仿宋_GB2312"/>
          <w:color w:val="auto"/>
          <w:sz w:val="28"/>
          <w:szCs w:val="28"/>
        </w:rPr>
      </w:pPr>
      <w:r>
        <w:rPr>
          <w:rFonts w:hint="eastAsia" w:ascii="仿宋_GB2312" w:eastAsia="仿宋_GB2312"/>
          <w:color w:val="auto"/>
          <w:sz w:val="28"/>
          <w:szCs w:val="28"/>
        </w:rPr>
        <w:t>6.2交货时间：乙方需在</w:t>
      </w:r>
      <w:r>
        <w:rPr>
          <w:rFonts w:hint="eastAsia" w:ascii="仿宋_GB2312" w:eastAsia="仿宋_GB2312"/>
          <w:color w:val="auto"/>
          <w:sz w:val="28"/>
          <w:szCs w:val="28"/>
          <w:lang w:val="en-US" w:eastAsia="zh-CN"/>
        </w:rPr>
        <w:t>合同签订之日起</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none"/>
          <w:lang w:val="en-US" w:eastAsia="zh-CN"/>
        </w:rPr>
        <w:t>日内</w:t>
      </w:r>
      <w:r>
        <w:rPr>
          <w:rFonts w:hint="eastAsia" w:ascii="仿宋_GB2312" w:eastAsia="仿宋_GB2312"/>
          <w:color w:val="auto"/>
          <w:sz w:val="28"/>
          <w:szCs w:val="28"/>
        </w:rPr>
        <w:t>交货。</w:t>
      </w:r>
    </w:p>
    <w:p>
      <w:pPr>
        <w:tabs>
          <w:tab w:val="left" w:pos="600"/>
        </w:tabs>
        <w:spacing w:line="360" w:lineRule="auto"/>
        <w:ind w:left="-2"/>
        <w:rPr>
          <w:rFonts w:ascii="仿宋_GB2312" w:eastAsia="仿宋_GB2312"/>
          <w:b/>
          <w:bCs/>
          <w:color w:val="auto"/>
          <w:sz w:val="28"/>
          <w:szCs w:val="28"/>
        </w:rPr>
      </w:pPr>
      <w:r>
        <w:rPr>
          <w:rFonts w:hint="eastAsia" w:ascii="仿宋_GB2312" w:eastAsia="仿宋_GB2312"/>
          <w:b/>
          <w:bCs/>
          <w:color w:val="auto"/>
          <w:sz w:val="28"/>
          <w:szCs w:val="28"/>
        </w:rPr>
        <w:t xml:space="preserve">7.检验 </w:t>
      </w:r>
    </w:p>
    <w:p>
      <w:pPr>
        <w:spacing w:line="360" w:lineRule="auto"/>
        <w:rPr>
          <w:rFonts w:ascii="仿宋_GB2312" w:eastAsia="仿宋_GB2312"/>
          <w:color w:val="auto"/>
          <w:sz w:val="28"/>
          <w:szCs w:val="28"/>
        </w:rPr>
      </w:pPr>
      <w:r>
        <w:rPr>
          <w:rFonts w:hint="eastAsia" w:ascii="仿宋_GB2312" w:eastAsia="仿宋_GB2312"/>
          <w:color w:val="auto"/>
          <w:sz w:val="28"/>
          <w:szCs w:val="28"/>
        </w:rPr>
        <w:t>7.1货到后，甲方应及时组织人员进行验收，并出具验收单。</w:t>
      </w:r>
    </w:p>
    <w:p>
      <w:pPr>
        <w:spacing w:line="360" w:lineRule="auto"/>
        <w:rPr>
          <w:rFonts w:ascii="仿宋_GB2312" w:eastAsia="仿宋_GB2312"/>
          <w:b/>
          <w:bCs/>
          <w:color w:val="auto"/>
          <w:sz w:val="28"/>
          <w:szCs w:val="28"/>
        </w:rPr>
      </w:pPr>
      <w:r>
        <w:rPr>
          <w:rFonts w:hint="eastAsia" w:ascii="仿宋_GB2312" w:eastAsia="仿宋_GB2312"/>
          <w:b/>
          <w:bCs/>
          <w:color w:val="auto"/>
          <w:sz w:val="28"/>
          <w:szCs w:val="28"/>
        </w:rPr>
        <w:t>8.质量保证</w:t>
      </w:r>
    </w:p>
    <w:p>
      <w:pPr>
        <w:spacing w:line="360" w:lineRule="auto"/>
        <w:rPr>
          <w:rFonts w:ascii="仿宋_GB2312" w:eastAsia="仿宋_GB2312"/>
          <w:color w:val="auto"/>
          <w:sz w:val="28"/>
          <w:szCs w:val="28"/>
        </w:rPr>
      </w:pPr>
      <w:r>
        <w:rPr>
          <w:rFonts w:hint="eastAsia" w:ascii="仿宋_GB2312" w:eastAsia="仿宋_GB2312"/>
          <w:color w:val="auto"/>
          <w:sz w:val="28"/>
          <w:szCs w:val="28"/>
        </w:rPr>
        <w:t>8.1乙方保证所提供的产品为甲方所规定之原厂产品，质量符合相应的国家和行业标准。并向甲方提供所供产品相关资料，包括但不限于产品说明书、质量合格证、型式试验报告，若是进口产品需提供报关单、海关检验证明等资料。如果产品质量不能达到相关标准（国家标准、行业标准）,乙方应负责更换,甲方有权要求退货。</w:t>
      </w:r>
    </w:p>
    <w:p>
      <w:pPr>
        <w:spacing w:line="360" w:lineRule="auto"/>
        <w:rPr>
          <w:rFonts w:ascii="仿宋_GB2312" w:eastAsia="仿宋_GB2312"/>
          <w:color w:val="auto"/>
          <w:sz w:val="28"/>
          <w:szCs w:val="28"/>
        </w:rPr>
      </w:pPr>
      <w:r>
        <w:rPr>
          <w:rFonts w:hint="eastAsia" w:ascii="仿宋_GB2312" w:eastAsia="仿宋_GB2312"/>
          <w:color w:val="auto"/>
          <w:sz w:val="28"/>
          <w:szCs w:val="28"/>
        </w:rPr>
        <w:t>8.2质保期为24个月及以上，自货物验收合格之日起算，质保期内产品出现任何质量问题或者运行不正常时，乙方应保证在接到甲方通知后24小时内到达现场免费解决所有质量及运行问题，保证甲方的正常使用。</w:t>
      </w:r>
    </w:p>
    <w:p>
      <w:pPr>
        <w:tabs>
          <w:tab w:val="left" w:pos="600"/>
        </w:tabs>
        <w:spacing w:line="360" w:lineRule="auto"/>
        <w:ind w:left="-2"/>
        <w:rPr>
          <w:rFonts w:ascii="仿宋_GB2312" w:hAnsi="宋体" w:eastAsia="仿宋_GB2312"/>
          <w:b/>
          <w:bCs/>
          <w:color w:val="auto"/>
          <w:sz w:val="28"/>
          <w:szCs w:val="28"/>
        </w:rPr>
      </w:pPr>
      <w:r>
        <w:rPr>
          <w:rFonts w:hint="eastAsia" w:ascii="仿宋_GB2312" w:hAnsi="宋体" w:eastAsia="仿宋_GB2312"/>
          <w:b/>
          <w:bCs/>
          <w:color w:val="auto"/>
          <w:sz w:val="28"/>
          <w:szCs w:val="28"/>
        </w:rPr>
        <w:t>9.售后及其他服务</w:t>
      </w:r>
    </w:p>
    <w:p>
      <w:pPr>
        <w:spacing w:line="360" w:lineRule="auto"/>
        <w:rPr>
          <w:rFonts w:ascii="仿宋_GB2312" w:eastAsia="仿宋_GB2312"/>
          <w:bCs/>
          <w:color w:val="auto"/>
          <w:sz w:val="28"/>
          <w:szCs w:val="28"/>
        </w:rPr>
      </w:pPr>
      <w:r>
        <w:rPr>
          <w:rFonts w:hint="eastAsia" w:ascii="仿宋_GB2312" w:eastAsia="仿宋_GB2312"/>
          <w:color w:val="auto"/>
          <w:sz w:val="28"/>
          <w:szCs w:val="28"/>
        </w:rPr>
        <w:t>9.1如果产品在保修期内出现质量问题或者无法运行使用，乙方应保证在接到甲方通知后24小时内到达现场进行维修维护。如果不能及时修复或者需要带离现场，需及时为甲方提供备品，保证正常的生产运行。</w:t>
      </w:r>
    </w:p>
    <w:p>
      <w:pPr>
        <w:tabs>
          <w:tab w:val="left" w:pos="600"/>
        </w:tabs>
        <w:spacing w:line="360" w:lineRule="auto"/>
        <w:rPr>
          <w:rFonts w:ascii="仿宋_GB2312" w:hAnsi="宋体" w:eastAsia="仿宋_GB2312"/>
          <w:b/>
          <w:bCs/>
          <w:color w:val="auto"/>
          <w:sz w:val="28"/>
          <w:szCs w:val="28"/>
        </w:rPr>
      </w:pPr>
      <w:r>
        <w:rPr>
          <w:rFonts w:hint="eastAsia" w:ascii="仿宋_GB2312" w:hAnsi="宋体" w:eastAsia="仿宋_GB2312"/>
          <w:b/>
          <w:bCs/>
          <w:color w:val="auto"/>
          <w:sz w:val="28"/>
          <w:szCs w:val="28"/>
        </w:rPr>
        <w:t>10. 环保、安全及合法性要求</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10.1 乙方承诺所提供产品和服务符合国家环境保护的有关规定，不能对环境造成不良影响并承担由此造成的经济损失。</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10.2 乙方所提供产品和服务不能对甲方的正常使用人员的人身健康造成危害并承担由此产生的经济损失。</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10.3乙方所提供之产品和服务，符合中华人民共和国以及甲方所在地的相关法律法规及其他规范性文件之规定，不会对第三人的任何权利权益造成任何损害。</w:t>
      </w:r>
    </w:p>
    <w:p>
      <w:pPr>
        <w:tabs>
          <w:tab w:val="left" w:pos="600"/>
        </w:tabs>
        <w:spacing w:line="360" w:lineRule="auto"/>
        <w:ind w:left="-2"/>
        <w:rPr>
          <w:rFonts w:ascii="仿宋_GB2312" w:hAnsi="宋体" w:eastAsia="仿宋_GB2312"/>
          <w:b/>
          <w:bCs/>
          <w:color w:val="auto"/>
          <w:sz w:val="28"/>
          <w:szCs w:val="28"/>
        </w:rPr>
      </w:pPr>
      <w:r>
        <w:rPr>
          <w:rFonts w:hint="eastAsia" w:ascii="仿宋_GB2312" w:hAnsi="宋体" w:eastAsia="仿宋_GB2312"/>
          <w:b/>
          <w:bCs/>
          <w:color w:val="auto"/>
          <w:sz w:val="28"/>
          <w:szCs w:val="28"/>
        </w:rPr>
        <w:t>11. 产品瑕疵</w:t>
      </w:r>
    </w:p>
    <w:p>
      <w:pPr>
        <w:spacing w:line="360" w:lineRule="auto"/>
        <w:rPr>
          <w:rFonts w:ascii="仿宋_GB2312" w:eastAsia="仿宋_GB2312"/>
          <w:color w:val="auto"/>
          <w:sz w:val="28"/>
          <w:szCs w:val="28"/>
        </w:rPr>
      </w:pPr>
      <w:r>
        <w:rPr>
          <w:rFonts w:hint="eastAsia" w:ascii="仿宋_GB2312" w:eastAsia="仿宋_GB2312"/>
          <w:color w:val="auto"/>
          <w:sz w:val="28"/>
          <w:szCs w:val="28"/>
        </w:rPr>
        <w:t>11.1在交货之前,乙方应就产品的品质、规格、性能、数量及重量做出准确和全面的检验,保证其产品不存在任何瑕疵。</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11.2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360" w:lineRule="auto"/>
        <w:rPr>
          <w:rFonts w:ascii="仿宋_GB2312" w:eastAsia="仿宋_GB2312"/>
          <w:b/>
          <w:bCs/>
          <w:color w:val="auto"/>
          <w:sz w:val="28"/>
          <w:szCs w:val="28"/>
        </w:rPr>
      </w:pPr>
      <w:r>
        <w:rPr>
          <w:rFonts w:hint="eastAsia" w:ascii="仿宋_GB2312" w:eastAsia="仿宋_GB2312"/>
          <w:b/>
          <w:bCs/>
          <w:color w:val="auto"/>
          <w:sz w:val="28"/>
          <w:szCs w:val="28"/>
        </w:rPr>
        <w:t>12.违约责任</w:t>
      </w:r>
    </w:p>
    <w:p>
      <w:pPr>
        <w:spacing w:line="360" w:lineRule="auto"/>
        <w:rPr>
          <w:rFonts w:ascii="仿宋_GB2312" w:eastAsia="仿宋_GB2312"/>
          <w:color w:val="auto"/>
          <w:sz w:val="28"/>
          <w:szCs w:val="28"/>
        </w:rPr>
      </w:pPr>
      <w:r>
        <w:rPr>
          <w:rFonts w:hint="eastAsia" w:ascii="仿宋_GB2312" w:eastAsia="仿宋_GB2312"/>
          <w:color w:val="auto"/>
          <w:sz w:val="28"/>
          <w:szCs w:val="28"/>
        </w:rPr>
        <w:t>12.1合同生效后即对双方具有法律约束力，甲乙双方应本着信守合同、友好协商的原则，处理本合同有关事宜。</w:t>
      </w:r>
    </w:p>
    <w:p>
      <w:pPr>
        <w:spacing w:line="360" w:lineRule="auto"/>
        <w:rPr>
          <w:rFonts w:ascii="仿宋_GB2312" w:eastAsia="仿宋_GB2312"/>
          <w:color w:val="auto"/>
          <w:sz w:val="28"/>
          <w:szCs w:val="28"/>
        </w:rPr>
      </w:pPr>
      <w:r>
        <w:rPr>
          <w:rFonts w:hint="eastAsia" w:ascii="仿宋_GB2312" w:eastAsia="仿宋_GB2312"/>
          <w:color w:val="auto"/>
          <w:sz w:val="28"/>
          <w:szCs w:val="28"/>
        </w:rPr>
        <w:t>12.2甲乙双方如有一方违约，由违约方承担由此给守约方造成的经济损失。</w:t>
      </w:r>
    </w:p>
    <w:p>
      <w:pPr>
        <w:spacing w:line="360" w:lineRule="auto"/>
        <w:rPr>
          <w:rFonts w:ascii="仿宋_GB2312" w:eastAsia="仿宋_GB2312"/>
          <w:color w:val="auto"/>
          <w:sz w:val="28"/>
          <w:szCs w:val="28"/>
        </w:rPr>
      </w:pPr>
      <w:r>
        <w:rPr>
          <w:rFonts w:hint="eastAsia" w:ascii="仿宋_GB2312" w:eastAsia="仿宋_GB2312"/>
          <w:color w:val="auto"/>
          <w:sz w:val="28"/>
          <w:szCs w:val="28"/>
        </w:rPr>
        <w:t>12.3如乙方未按合同规定时间将产品运到甲方指定地点或未按约定时间送到全部产品（经甲方允许可以延期送的产品除外），每延期一日，乙方应按日向甲方支付合同总额千分之二的违约金，但总计不超过合同总额的百分之五，否则甲方有权单方终止合同，并要求乙方承担相关损失。</w:t>
      </w:r>
    </w:p>
    <w:p>
      <w:pPr>
        <w:tabs>
          <w:tab w:val="left" w:pos="600"/>
        </w:tabs>
        <w:spacing w:line="360" w:lineRule="auto"/>
        <w:rPr>
          <w:rFonts w:ascii="仿宋_GB2312" w:eastAsia="仿宋_GB2312"/>
          <w:b/>
          <w:color w:val="auto"/>
          <w:sz w:val="28"/>
          <w:szCs w:val="28"/>
        </w:rPr>
      </w:pPr>
      <w:r>
        <w:rPr>
          <w:rFonts w:hint="eastAsia" w:ascii="仿宋_GB2312" w:eastAsia="仿宋_GB2312"/>
          <w:b/>
          <w:color w:val="auto"/>
          <w:sz w:val="28"/>
          <w:szCs w:val="28"/>
        </w:rPr>
        <w:t>13.合同的变更和解除</w:t>
      </w:r>
    </w:p>
    <w:p>
      <w:pPr>
        <w:spacing w:line="360" w:lineRule="auto"/>
        <w:rPr>
          <w:rFonts w:ascii="仿宋_GB2312" w:eastAsia="仿宋_GB2312"/>
          <w:color w:val="auto"/>
          <w:sz w:val="28"/>
          <w:szCs w:val="28"/>
        </w:rPr>
      </w:pPr>
      <w:r>
        <w:rPr>
          <w:rFonts w:hint="eastAsia" w:ascii="仿宋_GB2312" w:eastAsia="仿宋_GB2312"/>
          <w:color w:val="auto"/>
          <w:sz w:val="28"/>
          <w:szCs w:val="28"/>
        </w:rPr>
        <w:t>13.1除非遇到不可抗力因素，导致本合同不能履行，未经甲乙双方一致书面同意，任何单方无权变更合同的内容。</w:t>
      </w:r>
    </w:p>
    <w:p>
      <w:pPr>
        <w:spacing w:line="360" w:lineRule="auto"/>
        <w:rPr>
          <w:rFonts w:ascii="仿宋_GB2312" w:eastAsia="仿宋_GB2312"/>
          <w:color w:val="auto"/>
          <w:sz w:val="28"/>
          <w:szCs w:val="28"/>
        </w:rPr>
      </w:pPr>
      <w:r>
        <w:rPr>
          <w:rFonts w:hint="eastAsia" w:ascii="仿宋_GB2312" w:eastAsia="仿宋_GB2312"/>
          <w:color w:val="auto"/>
          <w:sz w:val="28"/>
          <w:szCs w:val="28"/>
        </w:rPr>
        <w:t>13.2 对本合同的任何修改或补充，只有在双方授权的代表签字后生效，并成为本合同不可分割的组成部分，与本合同具有同等法律效力。</w:t>
      </w:r>
    </w:p>
    <w:p>
      <w:pPr>
        <w:spacing w:line="360" w:lineRule="auto"/>
        <w:rPr>
          <w:rFonts w:ascii="仿宋_GB2312" w:eastAsia="仿宋_GB2312"/>
          <w:color w:val="auto"/>
          <w:sz w:val="28"/>
          <w:szCs w:val="28"/>
        </w:rPr>
      </w:pPr>
      <w:r>
        <w:rPr>
          <w:rFonts w:hint="eastAsia" w:ascii="仿宋_GB2312" w:eastAsia="仿宋_GB2312"/>
          <w:color w:val="auto"/>
          <w:sz w:val="28"/>
          <w:szCs w:val="28"/>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rPr>
          <w:rFonts w:ascii="仿宋_GB2312" w:eastAsia="仿宋_GB2312"/>
          <w:color w:val="auto"/>
          <w:sz w:val="28"/>
          <w:szCs w:val="28"/>
        </w:rPr>
      </w:pPr>
      <w:r>
        <w:rPr>
          <w:rFonts w:hint="eastAsia" w:ascii="仿宋_GB2312" w:eastAsia="仿宋_GB2312"/>
          <w:color w:val="auto"/>
          <w:sz w:val="28"/>
          <w:szCs w:val="28"/>
        </w:rPr>
        <w:t>13.4本合同任何一方破产、解散，本合同自动终止，由此所造成的相关损失概由该方承担。</w:t>
      </w:r>
    </w:p>
    <w:p>
      <w:pPr>
        <w:tabs>
          <w:tab w:val="left" w:pos="765"/>
        </w:tabs>
        <w:spacing w:line="360" w:lineRule="auto"/>
        <w:rPr>
          <w:rFonts w:ascii="仿宋_GB2312" w:eastAsia="仿宋_GB2312"/>
          <w:color w:val="auto"/>
          <w:sz w:val="28"/>
          <w:szCs w:val="28"/>
        </w:rPr>
      </w:pPr>
      <w:r>
        <w:rPr>
          <w:rFonts w:hint="eastAsia" w:ascii="仿宋_GB2312" w:eastAsia="仿宋_GB2312"/>
          <w:color w:val="auto"/>
          <w:sz w:val="28"/>
          <w:szCs w:val="28"/>
        </w:rPr>
        <w:t>13.5 除非合同目的无法实现，否则在合同存续的情况下，违约方承担相应的违约责任后仍应继续履行本合同。</w:t>
      </w:r>
    </w:p>
    <w:p>
      <w:pPr>
        <w:spacing w:line="360" w:lineRule="auto"/>
        <w:rPr>
          <w:rFonts w:ascii="仿宋_GB2312" w:eastAsia="仿宋_GB2312"/>
          <w:b/>
          <w:color w:val="auto"/>
          <w:sz w:val="28"/>
          <w:szCs w:val="28"/>
        </w:rPr>
      </w:pPr>
      <w:r>
        <w:rPr>
          <w:rFonts w:hint="eastAsia" w:ascii="仿宋_GB2312" w:eastAsia="仿宋_GB2312"/>
          <w:b/>
          <w:color w:val="auto"/>
          <w:sz w:val="28"/>
          <w:szCs w:val="28"/>
        </w:rPr>
        <w:t>14.不可抗力</w:t>
      </w:r>
    </w:p>
    <w:p>
      <w:pPr>
        <w:spacing w:line="360" w:lineRule="auto"/>
        <w:rPr>
          <w:rFonts w:ascii="仿宋_GB2312" w:eastAsia="仿宋_GB2312"/>
          <w:color w:val="auto"/>
          <w:sz w:val="28"/>
          <w:szCs w:val="28"/>
        </w:rPr>
      </w:pPr>
      <w:r>
        <w:rPr>
          <w:rFonts w:hint="eastAsia" w:ascii="仿宋_GB2312" w:eastAsia="仿宋_GB2312"/>
          <w:color w:val="auto"/>
          <w:sz w:val="28"/>
          <w:szCs w:val="28"/>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rPr>
          <w:rFonts w:ascii="仿宋_GB2312" w:eastAsia="仿宋_GB2312"/>
          <w:color w:val="auto"/>
          <w:sz w:val="28"/>
          <w:szCs w:val="28"/>
        </w:rPr>
      </w:pPr>
      <w:r>
        <w:rPr>
          <w:rFonts w:hint="eastAsia" w:ascii="仿宋_GB2312" w:eastAsia="仿宋_GB2312"/>
          <w:color w:val="auto"/>
          <w:sz w:val="28"/>
          <w:szCs w:val="28"/>
        </w:rPr>
        <w:t>14.2受不可抗力影响的一方，应尽一切努力减轻和克服不可抗力的影响，并在不可抗力事件后，继续履行合同职责。</w:t>
      </w:r>
    </w:p>
    <w:p>
      <w:pPr>
        <w:spacing w:line="360" w:lineRule="auto"/>
        <w:rPr>
          <w:rFonts w:ascii="仿宋_GB2312" w:eastAsia="仿宋_GB2312"/>
          <w:color w:val="auto"/>
          <w:sz w:val="28"/>
          <w:szCs w:val="28"/>
        </w:rPr>
      </w:pPr>
      <w:r>
        <w:rPr>
          <w:rFonts w:hint="eastAsia" w:ascii="仿宋_GB2312" w:eastAsia="仿宋_GB2312"/>
          <w:color w:val="auto"/>
          <w:sz w:val="28"/>
          <w:szCs w:val="28"/>
        </w:rPr>
        <w:t>14.3在不可抗力的影响下，受阻方可暂时停止执行合同的受阻部分。当不可抗力事件确实导致本合同继续执行，将甲乙双方确认后可以就解除合同及其他未尽事宜进行协商处理。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rPr>
          <w:rFonts w:ascii="仿宋_GB2312" w:eastAsia="仿宋_GB2312"/>
          <w:color w:val="auto"/>
          <w:sz w:val="28"/>
          <w:szCs w:val="28"/>
        </w:rPr>
      </w:pPr>
      <w:r>
        <w:rPr>
          <w:rFonts w:hint="eastAsia" w:ascii="仿宋_GB2312" w:eastAsia="仿宋_GB2312"/>
          <w:color w:val="auto"/>
          <w:sz w:val="28"/>
          <w:szCs w:val="28"/>
        </w:rPr>
        <w:t>14.4</w:t>
      </w:r>
      <w:r>
        <w:rPr>
          <w:rFonts w:hint="eastAsia" w:ascii="仿宋_GB2312" w:hAnsi="宋体" w:eastAsia="仿宋_GB2312"/>
          <w:color w:val="auto"/>
          <w:sz w:val="28"/>
          <w:szCs w:val="28"/>
        </w:rPr>
        <w:t>对因不可抗力造成的损失，双方互不承担责任。但受不可抗力影响的一方未能按照14.1之约定及时通知另一方，加重或扩大了另一方损失的除外。</w:t>
      </w:r>
    </w:p>
    <w:p>
      <w:pPr>
        <w:tabs>
          <w:tab w:val="left" w:pos="7560"/>
        </w:tabs>
        <w:spacing w:line="360" w:lineRule="auto"/>
        <w:rPr>
          <w:rFonts w:ascii="仿宋_GB2312" w:eastAsia="仿宋_GB2312"/>
          <w:b/>
          <w:bCs/>
          <w:color w:val="auto"/>
          <w:sz w:val="28"/>
          <w:szCs w:val="28"/>
        </w:rPr>
      </w:pPr>
      <w:r>
        <w:rPr>
          <w:rFonts w:hint="eastAsia" w:ascii="仿宋_GB2312" w:eastAsia="仿宋_GB2312"/>
          <w:b/>
          <w:bCs/>
          <w:color w:val="auto"/>
          <w:sz w:val="28"/>
          <w:szCs w:val="28"/>
        </w:rPr>
        <w:t>15.通知</w:t>
      </w:r>
    </w:p>
    <w:p>
      <w:pPr>
        <w:tabs>
          <w:tab w:val="left" w:pos="7560"/>
        </w:tabs>
        <w:spacing w:line="360" w:lineRule="auto"/>
        <w:ind w:left="-2" w:leftChars="-1" w:firstLine="2"/>
        <w:rPr>
          <w:rFonts w:ascii="仿宋_GB2312" w:hAnsi="宋体" w:eastAsia="仿宋_GB2312"/>
          <w:color w:val="auto"/>
          <w:sz w:val="28"/>
          <w:szCs w:val="28"/>
        </w:rPr>
      </w:pPr>
      <w:r>
        <w:rPr>
          <w:rFonts w:hint="eastAsia" w:ascii="仿宋_GB2312" w:eastAsia="仿宋_GB2312"/>
          <w:color w:val="auto"/>
          <w:sz w:val="28"/>
          <w:szCs w:val="28"/>
        </w:rPr>
        <w:t>15.1</w:t>
      </w:r>
      <w:r>
        <w:rPr>
          <w:rFonts w:hint="eastAsia" w:ascii="仿宋_GB2312" w:hAnsi="宋体" w:eastAsia="仿宋_GB2312"/>
          <w:color w:val="auto"/>
          <w:sz w:val="28"/>
          <w:szCs w:val="28"/>
        </w:rPr>
        <w:t>本合同中任何通知必须为书面形式。</w:t>
      </w:r>
    </w:p>
    <w:p>
      <w:pPr>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注：以传真、电报通知的必须同时以挂号及特快专递再行通知。</w:t>
      </w:r>
    </w:p>
    <w:p>
      <w:pPr>
        <w:tabs>
          <w:tab w:val="left" w:pos="750"/>
        </w:tabs>
        <w:spacing w:line="360" w:lineRule="auto"/>
        <w:rPr>
          <w:rFonts w:ascii="仿宋_GB2312" w:eastAsia="仿宋_GB2312"/>
          <w:b/>
          <w:color w:val="auto"/>
          <w:sz w:val="28"/>
          <w:szCs w:val="28"/>
        </w:rPr>
      </w:pPr>
      <w:r>
        <w:rPr>
          <w:rFonts w:hint="eastAsia" w:ascii="仿宋_GB2312" w:eastAsia="仿宋_GB2312"/>
          <w:b/>
          <w:color w:val="auto"/>
          <w:sz w:val="28"/>
          <w:szCs w:val="28"/>
        </w:rPr>
        <w:t>16.争议解决和适用法律</w:t>
      </w:r>
    </w:p>
    <w:p>
      <w:pPr>
        <w:spacing w:line="360" w:lineRule="auto"/>
        <w:rPr>
          <w:rFonts w:ascii="仿宋_GB2312" w:eastAsia="仿宋_GB2312"/>
          <w:color w:val="auto"/>
          <w:sz w:val="28"/>
          <w:szCs w:val="28"/>
        </w:rPr>
      </w:pPr>
      <w:r>
        <w:rPr>
          <w:rFonts w:hint="eastAsia" w:ascii="仿宋_GB2312" w:eastAsia="仿宋_GB2312"/>
          <w:color w:val="auto"/>
          <w:sz w:val="28"/>
          <w:szCs w:val="28"/>
        </w:rPr>
        <w:t>16.1与本合同有关的或因执行本合同所产生之争议，应由双方友好协商解决，不能解决时，任何一方均可向甲方住所地人民法院提起诉讼。</w:t>
      </w:r>
    </w:p>
    <w:p>
      <w:pPr>
        <w:spacing w:line="360" w:lineRule="auto"/>
        <w:rPr>
          <w:rFonts w:ascii="仿宋_GB2312" w:eastAsia="仿宋_GB2312"/>
          <w:color w:val="auto"/>
          <w:sz w:val="28"/>
          <w:szCs w:val="28"/>
        </w:rPr>
      </w:pPr>
      <w:r>
        <w:rPr>
          <w:rFonts w:hint="eastAsia" w:ascii="仿宋_GB2312" w:eastAsia="仿宋_GB2312"/>
          <w:color w:val="auto"/>
          <w:sz w:val="28"/>
          <w:szCs w:val="28"/>
        </w:rPr>
        <w:t>16.2争议处理期间除正在审理的部分以外，双方应继续执行合同的其余部分。</w:t>
      </w:r>
    </w:p>
    <w:p>
      <w:pPr>
        <w:spacing w:line="360" w:lineRule="auto"/>
        <w:rPr>
          <w:rFonts w:ascii="仿宋_GB2312" w:eastAsia="仿宋_GB2312"/>
          <w:color w:val="auto"/>
          <w:sz w:val="28"/>
          <w:szCs w:val="28"/>
        </w:rPr>
      </w:pPr>
      <w:r>
        <w:rPr>
          <w:rFonts w:hint="eastAsia" w:ascii="仿宋_GB2312" w:eastAsia="仿宋_GB2312"/>
          <w:color w:val="auto"/>
          <w:sz w:val="28"/>
          <w:szCs w:val="28"/>
        </w:rPr>
        <w:t>16.4本合同的订立、效力、解释、履行及争议的解决适用中华人民共和国的法律、法规。</w:t>
      </w:r>
    </w:p>
    <w:p>
      <w:pPr>
        <w:tabs>
          <w:tab w:val="left" w:pos="600"/>
        </w:tabs>
        <w:spacing w:line="360" w:lineRule="auto"/>
        <w:rPr>
          <w:rFonts w:ascii="仿宋_GB2312" w:eastAsia="仿宋_GB2312"/>
          <w:b/>
          <w:color w:val="auto"/>
          <w:sz w:val="28"/>
          <w:szCs w:val="28"/>
        </w:rPr>
      </w:pPr>
      <w:r>
        <w:rPr>
          <w:rFonts w:hint="eastAsia" w:ascii="仿宋_GB2312" w:eastAsia="仿宋_GB2312"/>
          <w:b/>
          <w:color w:val="auto"/>
          <w:sz w:val="28"/>
          <w:szCs w:val="28"/>
        </w:rPr>
        <w:t>17.其他</w:t>
      </w:r>
    </w:p>
    <w:p>
      <w:pPr>
        <w:tabs>
          <w:tab w:val="left" w:pos="900"/>
        </w:tabs>
        <w:spacing w:line="360" w:lineRule="auto"/>
        <w:rPr>
          <w:rFonts w:ascii="仿宋_GB2312" w:eastAsia="仿宋_GB2312"/>
          <w:color w:val="auto"/>
          <w:sz w:val="28"/>
          <w:szCs w:val="28"/>
        </w:rPr>
      </w:pPr>
      <w:r>
        <w:rPr>
          <w:rFonts w:hint="eastAsia" w:ascii="仿宋_GB2312" w:eastAsia="仿宋_GB2312"/>
          <w:color w:val="auto"/>
          <w:sz w:val="28"/>
          <w:szCs w:val="28"/>
        </w:rPr>
        <w:t>17.1本合同未尽事宜，应由甲、乙双方协商后以书面形式补充，加盖甲、乙双方公司印章并经双方授权代表签字后生效。</w:t>
      </w:r>
    </w:p>
    <w:p>
      <w:pPr>
        <w:tabs>
          <w:tab w:val="left" w:pos="900"/>
        </w:tabs>
        <w:spacing w:line="360" w:lineRule="auto"/>
        <w:rPr>
          <w:rFonts w:ascii="仿宋_GB2312" w:eastAsia="仿宋_GB2312"/>
          <w:color w:val="auto"/>
          <w:sz w:val="28"/>
          <w:szCs w:val="28"/>
        </w:rPr>
      </w:pPr>
      <w:r>
        <w:rPr>
          <w:rFonts w:hint="eastAsia" w:ascii="仿宋_GB2312" w:eastAsia="仿宋_GB2312"/>
          <w:color w:val="auto"/>
          <w:sz w:val="28"/>
          <w:szCs w:val="28"/>
        </w:rPr>
        <w:t>17.2本合同一式六份，甲方执四份，乙方执二份，具有同等法律效力。</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17.3本合同自甲、乙双方加盖公司印章，并经双方授权代表签字后生效。</w:t>
      </w:r>
    </w:p>
    <w:p>
      <w:pPr>
        <w:tabs>
          <w:tab w:val="left" w:pos="7560"/>
        </w:tabs>
        <w:spacing w:line="360" w:lineRule="auto"/>
        <w:ind w:left="-2" w:leftChars="-1" w:firstLine="2"/>
        <w:rPr>
          <w:rFonts w:ascii="仿宋_GB2312" w:eastAsia="仿宋_GB2312"/>
          <w:color w:val="auto"/>
          <w:sz w:val="28"/>
          <w:szCs w:val="28"/>
        </w:rPr>
      </w:pPr>
      <w:r>
        <w:rPr>
          <w:rFonts w:hint="eastAsia" w:ascii="仿宋_GB2312" w:eastAsia="仿宋_GB2312"/>
          <w:color w:val="auto"/>
          <w:sz w:val="28"/>
          <w:szCs w:val="28"/>
        </w:rPr>
        <w:t>17.4本合同生效日以甲方签字盖章日为准。</w:t>
      </w:r>
    </w:p>
    <w:p>
      <w:pPr>
        <w:tabs>
          <w:tab w:val="left" w:pos="7560"/>
        </w:tabs>
        <w:spacing w:line="360" w:lineRule="auto"/>
        <w:rPr>
          <w:rFonts w:ascii="仿宋_GB2312" w:hAnsi="宋体" w:eastAsia="仿宋_GB2312"/>
          <w:b/>
          <w:bCs/>
          <w:color w:val="auto"/>
          <w:sz w:val="28"/>
          <w:szCs w:val="28"/>
        </w:rPr>
      </w:pPr>
      <w:r>
        <w:rPr>
          <w:rFonts w:hint="eastAsia" w:ascii="仿宋_GB2312" w:eastAsia="仿宋_GB2312"/>
          <w:color w:val="auto"/>
          <w:sz w:val="28"/>
          <w:szCs w:val="28"/>
        </w:rPr>
        <w:t xml:space="preserve"> </w:t>
      </w:r>
      <w:r>
        <w:rPr>
          <w:rFonts w:hint="eastAsia" w:ascii="仿宋_GB2312" w:hAnsi="宋体" w:eastAsia="仿宋_GB2312"/>
          <w:b/>
          <w:bCs/>
          <w:color w:val="auto"/>
          <w:sz w:val="28"/>
          <w:szCs w:val="28"/>
        </w:rPr>
        <w:t xml:space="preserve">甲方： </w:t>
      </w:r>
    </w:p>
    <w:p>
      <w:pPr>
        <w:tabs>
          <w:tab w:val="left" w:pos="7560"/>
        </w:tabs>
        <w:spacing w:line="360" w:lineRule="auto"/>
        <w:ind w:left="-540"/>
        <w:rPr>
          <w:rFonts w:ascii="仿宋_GB2312" w:hAnsi="宋体" w:eastAsia="仿宋_GB2312"/>
          <w:b/>
          <w:bCs/>
          <w:color w:val="auto"/>
          <w:sz w:val="28"/>
          <w:szCs w:val="28"/>
        </w:rPr>
      </w:pPr>
    </w:p>
    <w:p>
      <w:pPr>
        <w:tabs>
          <w:tab w:val="left" w:pos="7560"/>
        </w:tabs>
        <w:spacing w:line="360" w:lineRule="auto"/>
        <w:ind w:left="-473" w:leftChars="-225"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代表：（签章）</w:t>
      </w:r>
    </w:p>
    <w:p>
      <w:pPr>
        <w:tabs>
          <w:tab w:val="left" w:pos="7560"/>
        </w:tabs>
        <w:spacing w:line="360" w:lineRule="auto"/>
        <w:ind w:left="-473" w:leftChars="-225" w:firstLine="562" w:firstLineChars="200"/>
        <w:rPr>
          <w:rFonts w:ascii="仿宋_GB2312" w:hAnsi="宋体" w:eastAsia="仿宋_GB2312"/>
          <w:b/>
          <w:bCs/>
          <w:color w:val="auto"/>
          <w:sz w:val="28"/>
          <w:szCs w:val="28"/>
        </w:rPr>
      </w:pPr>
    </w:p>
    <w:p>
      <w:pPr>
        <w:tabs>
          <w:tab w:val="left" w:pos="7560"/>
        </w:tabs>
        <w:spacing w:line="360" w:lineRule="auto"/>
        <w:ind w:left="-473" w:leftChars="-225"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乙方：</w:t>
      </w:r>
    </w:p>
    <w:p>
      <w:pPr>
        <w:tabs>
          <w:tab w:val="left" w:pos="7560"/>
        </w:tabs>
        <w:spacing w:line="360" w:lineRule="auto"/>
        <w:ind w:left="-540"/>
        <w:rPr>
          <w:rFonts w:ascii="仿宋_GB2312" w:hAnsi="宋体" w:eastAsia="仿宋_GB2312"/>
          <w:b/>
          <w:bCs/>
          <w:color w:val="auto"/>
          <w:sz w:val="28"/>
          <w:szCs w:val="28"/>
        </w:rPr>
      </w:pPr>
    </w:p>
    <w:p>
      <w:pPr>
        <w:spacing w:line="360" w:lineRule="auto"/>
        <w:rPr>
          <w:rFonts w:ascii="仿宋_GB2312" w:eastAsia="仿宋_GB2312"/>
          <w:color w:val="auto"/>
          <w:sz w:val="28"/>
          <w:szCs w:val="28"/>
        </w:rPr>
      </w:pPr>
      <w:r>
        <w:rPr>
          <w:rFonts w:hint="eastAsia" w:ascii="仿宋_GB2312" w:hAnsi="宋体" w:eastAsia="仿宋_GB2312"/>
          <w:b/>
          <w:bCs/>
          <w:color w:val="auto"/>
          <w:sz w:val="28"/>
          <w:szCs w:val="28"/>
        </w:rPr>
        <w:t>代表：（签章）</w:t>
      </w:r>
      <w:r>
        <w:rPr>
          <w:rFonts w:hint="eastAsia" w:ascii="仿宋_GB2312" w:eastAsia="仿宋_GB2312"/>
          <w:color w:val="auto"/>
          <w:sz w:val="28"/>
          <w:szCs w:val="28"/>
        </w:rPr>
        <w:t xml:space="preserve"> </w:t>
      </w:r>
    </w:p>
    <w:p>
      <w:pPr>
        <w:spacing w:line="360" w:lineRule="auto"/>
        <w:rPr>
          <w:rFonts w:ascii="仿宋_GB2312" w:eastAsia="仿宋_GB2312"/>
          <w:b/>
          <w:bCs/>
          <w:color w:val="auto"/>
          <w:sz w:val="28"/>
          <w:szCs w:val="28"/>
        </w:rPr>
      </w:pPr>
    </w:p>
    <w:p>
      <w:pPr>
        <w:spacing w:line="360" w:lineRule="auto"/>
        <w:rPr>
          <w:rFonts w:ascii="仿宋_GB2312" w:eastAsia="仿宋_GB2312"/>
          <w:color w:val="auto"/>
          <w:sz w:val="28"/>
          <w:szCs w:val="28"/>
        </w:rPr>
      </w:pPr>
      <w:r>
        <w:rPr>
          <w:rFonts w:hint="eastAsia" w:ascii="仿宋_GB2312" w:eastAsia="仿宋_GB2312"/>
          <w:b/>
          <w:bCs/>
          <w:color w:val="auto"/>
          <w:sz w:val="28"/>
          <w:szCs w:val="28"/>
        </w:rPr>
        <w:t>签订日期:</w:t>
      </w:r>
    </w:p>
    <w:p>
      <w:pPr>
        <w:rPr>
          <w:rFonts w:ascii="仿宋_GB2312" w:eastAsia="仿宋_GB2312"/>
          <w:color w:val="auto"/>
          <w:sz w:val="28"/>
          <w:szCs w:val="28"/>
        </w:rPr>
      </w:pPr>
      <w:r>
        <w:rPr>
          <w:rFonts w:hint="eastAsia" w:ascii="仿宋_GB2312" w:eastAsia="仿宋_GB2312"/>
          <w:color w:val="auto"/>
          <w:sz w:val="28"/>
          <w:szCs w:val="28"/>
        </w:rPr>
        <w:t>签订地点：重庆江北国际机场</w:t>
      </w:r>
    </w:p>
    <w:p>
      <w:pPr>
        <w:rPr>
          <w:rFonts w:ascii="仿宋_GB2312" w:hAnsi="宋体" w:eastAsia="仿宋_GB2312"/>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1F3BF"/>
    <w:multiLevelType w:val="singleLevel"/>
    <w:tmpl w:val="C001F3BF"/>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3"/>
      <w:lvlText w:val="%1、"/>
      <w:lvlJc w:val="left"/>
      <w:pPr>
        <w:tabs>
          <w:tab w:val="left" w:pos="2970"/>
        </w:tabs>
        <w:ind w:left="2970" w:hanging="720"/>
      </w:pPr>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4D57236B"/>
    <w:multiLevelType w:val="singleLevel"/>
    <w:tmpl w:val="4D57236B"/>
    <w:lvl w:ilvl="0" w:tentative="0">
      <w:start w:val="1"/>
      <w:numFmt w:val="decimal"/>
      <w:lvlText w:val="%1."/>
      <w:lvlJc w:val="left"/>
      <w:pPr>
        <w:tabs>
          <w:tab w:val="left" w:pos="312"/>
        </w:tabs>
      </w:pPr>
    </w:lvl>
  </w:abstractNum>
  <w:abstractNum w:abstractNumId="5">
    <w:nsid w:val="62DE040F"/>
    <w:multiLevelType w:val="singleLevel"/>
    <w:tmpl w:val="62DE040F"/>
    <w:lvl w:ilvl="0" w:tentative="0">
      <w:start w:val="14"/>
      <w:numFmt w:val="decimal"/>
      <w:suff w:val="nothing"/>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5055619"/>
    <w:rsid w:val="1583049C"/>
    <w:rsid w:val="164F0CA8"/>
    <w:rsid w:val="16776BB9"/>
    <w:rsid w:val="16A10B88"/>
    <w:rsid w:val="16EC2757"/>
    <w:rsid w:val="19DC1985"/>
    <w:rsid w:val="1B252370"/>
    <w:rsid w:val="1B8D26BE"/>
    <w:rsid w:val="1BD771CE"/>
    <w:rsid w:val="1BF90E02"/>
    <w:rsid w:val="1C322AE2"/>
    <w:rsid w:val="1CC13D1C"/>
    <w:rsid w:val="1D2C2CAF"/>
    <w:rsid w:val="1DA479DA"/>
    <w:rsid w:val="1DCA73E3"/>
    <w:rsid w:val="1DCB1359"/>
    <w:rsid w:val="1EC94EBE"/>
    <w:rsid w:val="1F056B05"/>
    <w:rsid w:val="1F8043D8"/>
    <w:rsid w:val="21EC6E38"/>
    <w:rsid w:val="22C87BCD"/>
    <w:rsid w:val="23D02B6F"/>
    <w:rsid w:val="23FA516E"/>
    <w:rsid w:val="274F0A1F"/>
    <w:rsid w:val="29B27BB1"/>
    <w:rsid w:val="2AD94CFF"/>
    <w:rsid w:val="2CF540AC"/>
    <w:rsid w:val="2DDE3FCD"/>
    <w:rsid w:val="2F2965CD"/>
    <w:rsid w:val="2F2A76DC"/>
    <w:rsid w:val="307C7425"/>
    <w:rsid w:val="319008D4"/>
    <w:rsid w:val="31B850A6"/>
    <w:rsid w:val="31CE330B"/>
    <w:rsid w:val="31F81FDE"/>
    <w:rsid w:val="31FB25EB"/>
    <w:rsid w:val="32251AA5"/>
    <w:rsid w:val="323C5F13"/>
    <w:rsid w:val="32B728F7"/>
    <w:rsid w:val="32FB096C"/>
    <w:rsid w:val="33881629"/>
    <w:rsid w:val="344C379A"/>
    <w:rsid w:val="35345E16"/>
    <w:rsid w:val="361C5D36"/>
    <w:rsid w:val="372E15DD"/>
    <w:rsid w:val="37D67EF2"/>
    <w:rsid w:val="38402B4F"/>
    <w:rsid w:val="39092495"/>
    <w:rsid w:val="3C510F04"/>
    <w:rsid w:val="3C7F17E2"/>
    <w:rsid w:val="3CA2333C"/>
    <w:rsid w:val="3D0218EA"/>
    <w:rsid w:val="3F276B95"/>
    <w:rsid w:val="3F2E6AE9"/>
    <w:rsid w:val="40395B9D"/>
    <w:rsid w:val="404667D5"/>
    <w:rsid w:val="416F1F00"/>
    <w:rsid w:val="41BD6C67"/>
    <w:rsid w:val="433E0492"/>
    <w:rsid w:val="434C49D6"/>
    <w:rsid w:val="452E4A80"/>
    <w:rsid w:val="45D05EDE"/>
    <w:rsid w:val="46353E2D"/>
    <w:rsid w:val="47D71014"/>
    <w:rsid w:val="481A5805"/>
    <w:rsid w:val="4ACB6A52"/>
    <w:rsid w:val="4AEC2263"/>
    <w:rsid w:val="4AF974F4"/>
    <w:rsid w:val="4AFE0C3A"/>
    <w:rsid w:val="4B676658"/>
    <w:rsid w:val="4CB928E9"/>
    <w:rsid w:val="4E360E96"/>
    <w:rsid w:val="53587A0F"/>
    <w:rsid w:val="53763883"/>
    <w:rsid w:val="542D1871"/>
    <w:rsid w:val="54460111"/>
    <w:rsid w:val="55522594"/>
    <w:rsid w:val="55C335FD"/>
    <w:rsid w:val="55E705D3"/>
    <w:rsid w:val="565616DC"/>
    <w:rsid w:val="56743C6D"/>
    <w:rsid w:val="56894131"/>
    <w:rsid w:val="568D3160"/>
    <w:rsid w:val="56A9269D"/>
    <w:rsid w:val="5750130D"/>
    <w:rsid w:val="58D92C0C"/>
    <w:rsid w:val="5BC838FC"/>
    <w:rsid w:val="5D0E696A"/>
    <w:rsid w:val="5E9B47BC"/>
    <w:rsid w:val="5E9C3BF3"/>
    <w:rsid w:val="601D7FA3"/>
    <w:rsid w:val="60364C87"/>
    <w:rsid w:val="604F192A"/>
    <w:rsid w:val="610754F6"/>
    <w:rsid w:val="61161DC8"/>
    <w:rsid w:val="611F39D3"/>
    <w:rsid w:val="6125073C"/>
    <w:rsid w:val="61A41615"/>
    <w:rsid w:val="61F82906"/>
    <w:rsid w:val="6409584C"/>
    <w:rsid w:val="64A45079"/>
    <w:rsid w:val="665B1AD9"/>
    <w:rsid w:val="66911946"/>
    <w:rsid w:val="67117796"/>
    <w:rsid w:val="69DA25E1"/>
    <w:rsid w:val="69ED65C5"/>
    <w:rsid w:val="6A2A1EA6"/>
    <w:rsid w:val="6A406108"/>
    <w:rsid w:val="6C251071"/>
    <w:rsid w:val="6D961487"/>
    <w:rsid w:val="6DB068C8"/>
    <w:rsid w:val="6F0F4895"/>
    <w:rsid w:val="706C537D"/>
    <w:rsid w:val="7173061B"/>
    <w:rsid w:val="735956B8"/>
    <w:rsid w:val="74F827E7"/>
    <w:rsid w:val="74FF16AC"/>
    <w:rsid w:val="75F1110E"/>
    <w:rsid w:val="7718387E"/>
    <w:rsid w:val="777D7517"/>
    <w:rsid w:val="77B461C9"/>
    <w:rsid w:val="79115AB2"/>
    <w:rsid w:val="7B5C5F22"/>
    <w:rsid w:val="7B5E2CEE"/>
    <w:rsid w:val="7C0A5DF7"/>
    <w:rsid w:val="7C694B43"/>
    <w:rsid w:val="7D61253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locked/>
    <w:uiPriority w:val="0"/>
    <w:pPr>
      <w:keepNext/>
      <w:outlineLvl w:val="0"/>
    </w:pPr>
    <w:rPr>
      <w:b/>
      <w:sz w:val="18"/>
      <w:szCs w:val="20"/>
    </w:rPr>
  </w:style>
  <w:style w:type="paragraph" w:styleId="3">
    <w:name w:val="heading 2"/>
    <w:basedOn w:val="1"/>
    <w:next w:val="1"/>
    <w:qFormat/>
    <w:locked/>
    <w:uiPriority w:val="0"/>
    <w:pPr>
      <w:keepNext/>
      <w:numPr>
        <w:ilvl w:val="0"/>
        <w:numId w:val="1"/>
      </w:numPr>
      <w:outlineLvl w:val="1"/>
    </w:pPr>
    <w:rPr>
      <w:rFonts w:eastAsia="仿宋_GB2312"/>
      <w:b/>
      <w:sz w:val="28"/>
      <w:szCs w:val="20"/>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spacing w:after="120"/>
    </w:pPr>
  </w:style>
  <w:style w:type="paragraph" w:styleId="6">
    <w:name w:val="Body Text Indent"/>
    <w:basedOn w:val="1"/>
    <w:link w:val="27"/>
    <w:qFormat/>
    <w:uiPriority w:val="0"/>
    <w:pPr>
      <w:spacing w:line="360" w:lineRule="auto"/>
      <w:ind w:firstLine="480" w:firstLineChars="200"/>
    </w:pPr>
  </w:style>
  <w:style w:type="paragraph" w:styleId="7">
    <w:name w:val="Balloon Text"/>
    <w:basedOn w:val="1"/>
    <w:link w:val="25"/>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FollowedHyperlink"/>
    <w:basedOn w:val="13"/>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link w:val="9"/>
    <w:semiHidden/>
    <w:qFormat/>
    <w:locked/>
    <w:uiPriority w:val="99"/>
    <w:rPr>
      <w:rFonts w:cs="Times New Roman"/>
      <w:sz w:val="18"/>
      <w:szCs w:val="18"/>
    </w:rPr>
  </w:style>
  <w:style w:type="character" w:customStyle="1" w:styleId="19">
    <w:name w:val="页脚 Char"/>
    <w:link w:val="8"/>
    <w:qFormat/>
    <w:locked/>
    <w:uiPriority w:val="99"/>
    <w:rPr>
      <w:rFonts w:cs="Times New Roman"/>
      <w:sz w:val="18"/>
      <w:szCs w:val="18"/>
    </w:rPr>
  </w:style>
  <w:style w:type="paragraph" w:customStyle="1" w:styleId="20">
    <w:name w:val="列出段落1"/>
    <w:basedOn w:val="1"/>
    <w:qFormat/>
    <w:uiPriority w:val="34"/>
    <w:pPr>
      <w:ind w:firstLine="420" w:firstLineChars="200"/>
    </w:pPr>
  </w:style>
  <w:style w:type="character" w:customStyle="1" w:styleId="21">
    <w:name w:val="f14w1"/>
    <w:qFormat/>
    <w:uiPriority w:val="0"/>
    <w:rPr>
      <w:b/>
      <w:bCs/>
      <w:color w:val="002569"/>
      <w:sz w:val="21"/>
      <w:szCs w:val="21"/>
    </w:rPr>
  </w:style>
  <w:style w:type="paragraph" w:customStyle="1" w:styleId="22">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3">
    <w:name w:val="列出段落11"/>
    <w:basedOn w:val="1"/>
    <w:qFormat/>
    <w:uiPriority w:val="0"/>
    <w:pPr>
      <w:ind w:firstLine="420" w:firstLineChars="200"/>
    </w:pPr>
  </w:style>
  <w:style w:type="paragraph" w:customStyle="1" w:styleId="24">
    <w:name w:val="列出段落2"/>
    <w:basedOn w:val="1"/>
    <w:qFormat/>
    <w:uiPriority w:val="0"/>
    <w:pPr>
      <w:ind w:firstLine="420" w:firstLineChars="200"/>
    </w:pPr>
    <w:rPr>
      <w:rFonts w:ascii="Calibri" w:hAnsi="Calibri"/>
      <w:szCs w:val="22"/>
    </w:rPr>
  </w:style>
  <w:style w:type="character" w:customStyle="1" w:styleId="25">
    <w:name w:val="批注框文本 Char"/>
    <w:link w:val="7"/>
    <w:semiHidden/>
    <w:qFormat/>
    <w:uiPriority w:val="99"/>
    <w:rPr>
      <w:rFonts w:ascii="Times New Roman" w:hAnsi="Times New Roman"/>
      <w:kern w:val="2"/>
      <w:sz w:val="18"/>
      <w:szCs w:val="18"/>
    </w:rPr>
  </w:style>
  <w:style w:type="paragraph" w:customStyle="1" w:styleId="26">
    <w:name w:val="Char"/>
    <w:basedOn w:val="1"/>
    <w:qFormat/>
    <w:uiPriority w:val="0"/>
    <w:pPr>
      <w:spacing w:line="240" w:lineRule="atLeast"/>
      <w:ind w:left="420" w:firstLine="420"/>
    </w:pPr>
    <w:rPr>
      <w:kern w:val="0"/>
      <w:szCs w:val="21"/>
    </w:rPr>
  </w:style>
  <w:style w:type="character" w:customStyle="1" w:styleId="27">
    <w:name w:val="正文文本缩进 Char"/>
    <w:basedOn w:val="13"/>
    <w:link w:val="6"/>
    <w:qFormat/>
    <w:uiPriority w:val="0"/>
    <w:rPr>
      <w:rFonts w:ascii="Times New Roman" w:hAnsi="Times New Roman"/>
      <w:kern w:val="2"/>
      <w:sz w:val="21"/>
      <w:szCs w:val="24"/>
    </w:rPr>
  </w:style>
  <w:style w:type="character" w:customStyle="1" w:styleId="28">
    <w:name w:val="标题 1 Char"/>
    <w:basedOn w:val="13"/>
    <w:link w:val="2"/>
    <w:qFormat/>
    <w:uiPriority w:val="0"/>
    <w:rPr>
      <w:b/>
      <w:kern w:val="2"/>
      <w:sz w:val="18"/>
    </w:rPr>
  </w:style>
  <w:style w:type="character" w:customStyle="1" w:styleId="29">
    <w:name w:val="HTML 预设格式 Char"/>
    <w:basedOn w:val="13"/>
    <w:link w:val="11"/>
    <w:qFormat/>
    <w:uiPriority w:val="0"/>
    <w:rPr>
      <w:rFonts w:ascii="黑体" w:hAnsi="Courier New" w:eastAsia="黑体" w:cs="Courier New"/>
      <w:color w:val="000000"/>
    </w:rPr>
  </w:style>
  <w:style w:type="paragraph" w:customStyle="1" w:styleId="30">
    <w:name w:val="样式 标题 2 + Times New Roman 四号 非加粗 段前: 5 磅 段后: 0 磅 行距: 固定值 20..."/>
    <w:basedOn w:val="3"/>
    <w:qFormat/>
    <w:uiPriority w:val="0"/>
    <w:pPr>
      <w:keepLines/>
      <w:numPr>
        <w:numId w:val="0"/>
      </w:numPr>
      <w:spacing w:before="100" w:line="400" w:lineRule="exact"/>
    </w:pPr>
    <w:rPr>
      <w:rFonts w:eastAsia="黑体" w:cs="宋体"/>
      <w:b w:val="0"/>
      <w:kern w:val="0"/>
    </w:rPr>
  </w:style>
  <w:style w:type="paragraph" w:customStyle="1" w:styleId="31">
    <w:name w:val="表内文字"/>
    <w:basedOn w:val="1"/>
    <w:qFormat/>
    <w:uiPriority w:val="0"/>
    <w:pPr>
      <w:spacing w:line="400" w:lineRule="exact"/>
    </w:pPr>
    <w:rPr>
      <w:szCs w:val="21"/>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75</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2020-08-19T01:04:11Z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