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200" w:lineRule="exact"/>
        <w:jc w:val="center"/>
        <w:outlineLvl w:val="0"/>
        <w:rPr>
          <w:rFonts w:ascii="方正小标宋_GBK" w:hAnsi="宋体" w:eastAsia="方正小标宋_GBK"/>
          <w:spacing w:val="80"/>
          <w:sz w:val="160"/>
          <w:szCs w:val="160"/>
        </w:rPr>
      </w:pPr>
    </w:p>
    <w:p>
      <w:pPr>
        <w:spacing w:line="2200" w:lineRule="exact"/>
        <w:jc w:val="center"/>
        <w:outlineLvl w:val="0"/>
        <w:rPr>
          <w:rFonts w:ascii="方正小标宋_GBK" w:hAnsi="宋体" w:eastAsia="方正小标宋_GBK"/>
          <w:spacing w:val="80"/>
          <w:sz w:val="160"/>
          <w:szCs w:val="160"/>
        </w:rPr>
      </w:pPr>
      <w:r>
        <w:rPr>
          <w:rFonts w:hint="eastAsia" w:ascii="方正小标宋_GBK" w:hAnsi="宋体" w:eastAsia="方正小标宋_GBK"/>
          <w:spacing w:val="80"/>
          <w:sz w:val="160"/>
          <w:szCs w:val="160"/>
        </w:rPr>
        <w:t>公司采购</w:t>
      </w:r>
    </w:p>
    <w:p>
      <w:pPr>
        <w:spacing w:line="2200" w:lineRule="exact"/>
        <w:jc w:val="center"/>
        <w:outlineLvl w:val="0"/>
        <w:rPr>
          <w:rFonts w:ascii="方正小标宋_GBK" w:hAnsi="宋体" w:eastAsia="方正小标宋_GBK"/>
          <w:spacing w:val="80"/>
          <w:sz w:val="160"/>
          <w:szCs w:val="160"/>
        </w:rPr>
      </w:pPr>
      <w:r>
        <w:rPr>
          <w:rFonts w:hint="eastAsia" w:ascii="方正小标宋_GBK" w:hAnsi="宋体" w:eastAsia="方正小标宋_GBK"/>
          <w:spacing w:val="80"/>
          <w:sz w:val="160"/>
          <w:szCs w:val="160"/>
        </w:rPr>
        <w:t>比选文件</w:t>
      </w:r>
    </w:p>
    <w:p>
      <w:pPr>
        <w:spacing w:line="700" w:lineRule="exact"/>
        <w:jc w:val="center"/>
        <w:rPr>
          <w:rFonts w:ascii="方正仿宋_GBK" w:hAnsi="宋体" w:eastAsia="方正仿宋_GBK"/>
          <w:sz w:val="32"/>
          <w:szCs w:val="32"/>
        </w:rPr>
      </w:pPr>
    </w:p>
    <w:p>
      <w:pPr>
        <w:spacing w:line="700" w:lineRule="exact"/>
        <w:jc w:val="center"/>
        <w:rPr>
          <w:rFonts w:ascii="方正仿宋_GBK" w:hAnsi="宋体" w:eastAsia="方正仿宋_GBK"/>
          <w:sz w:val="32"/>
          <w:szCs w:val="32"/>
        </w:rPr>
      </w:pPr>
    </w:p>
    <w:p>
      <w:pPr>
        <w:spacing w:line="700" w:lineRule="exact"/>
        <w:rPr>
          <w:rFonts w:ascii="方正仿宋_GBK" w:hAnsi="宋体" w:eastAsia="方正仿宋_GBK"/>
          <w:sz w:val="32"/>
          <w:szCs w:val="32"/>
        </w:rPr>
      </w:pPr>
    </w:p>
    <w:p>
      <w:pPr>
        <w:spacing w:line="700" w:lineRule="exact"/>
        <w:jc w:val="center"/>
        <w:rPr>
          <w:rFonts w:ascii="方正仿宋_GBK" w:hAnsi="仿宋" w:eastAsia="方正仿宋_GBK"/>
          <w:sz w:val="32"/>
          <w:szCs w:val="32"/>
          <w:u w:val="single"/>
        </w:rPr>
      </w:pPr>
      <w:r>
        <w:rPr>
          <w:rFonts w:hint="eastAsia" w:ascii="方正仿宋_GBK" w:hAnsi="宋体" w:eastAsia="方正仿宋_GBK"/>
          <w:sz w:val="32"/>
          <w:szCs w:val="32"/>
        </w:rPr>
        <w:t>项目名称：</w:t>
      </w:r>
      <w:r>
        <w:rPr>
          <w:rFonts w:hint="eastAsia" w:ascii="方正仿宋_GBK" w:hAnsi="仿宋" w:eastAsia="方正仿宋_GBK"/>
          <w:sz w:val="30"/>
          <w:szCs w:val="30"/>
          <w:u w:val="single"/>
        </w:rPr>
        <w:t>中新航空产业园（一期）基础设施建设项目专项债发债辅导</w:t>
      </w:r>
    </w:p>
    <w:p>
      <w:pPr>
        <w:spacing w:line="700" w:lineRule="exact"/>
        <w:ind w:firstLine="480" w:firstLineChars="150"/>
        <w:jc w:val="center"/>
        <w:rPr>
          <w:rFonts w:ascii="方正仿宋_GBK" w:hAnsi="宋体" w:eastAsia="方正仿宋_GBK"/>
          <w:sz w:val="32"/>
          <w:szCs w:val="32"/>
          <w:u w:val="single"/>
        </w:rPr>
      </w:pPr>
      <w:r>
        <w:rPr>
          <w:rFonts w:hint="eastAsia" w:ascii="方正仿宋_GBK" w:hAnsi="宋体" w:eastAsia="方正仿宋_GBK"/>
          <w:sz w:val="32"/>
          <w:szCs w:val="32"/>
        </w:rPr>
        <w:t>采购人：</w:t>
      </w:r>
      <w:r>
        <w:rPr>
          <w:rFonts w:hint="eastAsia" w:ascii="方正仿宋_GBK" w:hAnsi="宋体" w:eastAsia="方正仿宋_GBK"/>
          <w:sz w:val="32"/>
          <w:szCs w:val="32"/>
          <w:u w:val="single"/>
        </w:rPr>
        <w:t>重庆临空经济示范区开发建设有限公司</w:t>
      </w:r>
    </w:p>
    <w:p>
      <w:pPr>
        <w:spacing w:line="600" w:lineRule="exact"/>
        <w:jc w:val="center"/>
        <w:outlineLvl w:val="0"/>
        <w:rPr>
          <w:rFonts w:ascii="方正仿宋_GBK" w:hAnsi="宋体" w:eastAsia="方正仿宋_GBK"/>
          <w:sz w:val="32"/>
          <w:szCs w:val="32"/>
        </w:rPr>
      </w:pPr>
    </w:p>
    <w:p>
      <w:pPr>
        <w:spacing w:line="600" w:lineRule="exact"/>
        <w:jc w:val="center"/>
        <w:outlineLvl w:val="0"/>
        <w:rPr>
          <w:rFonts w:ascii="方正仿宋_GBK" w:hAnsi="宋体" w:eastAsia="方正仿宋_GBK"/>
          <w:sz w:val="32"/>
          <w:szCs w:val="32"/>
        </w:rPr>
      </w:pPr>
    </w:p>
    <w:p>
      <w:pPr>
        <w:spacing w:line="700" w:lineRule="exact"/>
        <w:jc w:val="center"/>
        <w:rPr>
          <w:rFonts w:ascii="方正仿宋_GBK" w:hAnsi="宋体" w:eastAsia="方正仿宋_GBK"/>
          <w:sz w:val="32"/>
          <w:szCs w:val="32"/>
        </w:rPr>
      </w:pPr>
      <w:r>
        <w:rPr>
          <w:rFonts w:hint="eastAsia" w:ascii="方正仿宋_GBK" w:hAnsi="宋体" w:eastAsia="方正仿宋_GBK"/>
          <w:sz w:val="32"/>
          <w:szCs w:val="32"/>
        </w:rPr>
        <w:t>二〇二〇年八月</w:t>
      </w:r>
    </w:p>
    <w:p>
      <w:pPr>
        <w:spacing w:line="420" w:lineRule="exact"/>
        <w:jc w:val="center"/>
        <w:outlineLvl w:val="0"/>
        <w:rPr>
          <w:rFonts w:ascii="方正仿宋_GBK" w:hAnsi="宋体" w:eastAsia="方正仿宋_GBK"/>
          <w:sz w:val="32"/>
          <w:szCs w:val="32"/>
        </w:rPr>
      </w:pPr>
    </w:p>
    <w:p>
      <w:pPr>
        <w:spacing w:line="420" w:lineRule="exact"/>
        <w:jc w:val="center"/>
        <w:outlineLvl w:val="0"/>
        <w:rPr>
          <w:rFonts w:ascii="方正仿宋_GBK" w:hAnsi="宋体" w:eastAsia="方正仿宋_GBK"/>
          <w:sz w:val="32"/>
          <w:szCs w:val="32"/>
        </w:rPr>
      </w:pPr>
    </w:p>
    <w:p>
      <w:pPr>
        <w:spacing w:line="420" w:lineRule="exact"/>
        <w:jc w:val="center"/>
        <w:outlineLvl w:val="0"/>
        <w:rPr>
          <w:rFonts w:ascii="方正仿宋_GBK" w:hAnsi="宋体" w:eastAsia="方正仿宋_GBK"/>
          <w:sz w:val="32"/>
          <w:szCs w:val="32"/>
        </w:rPr>
      </w:pPr>
    </w:p>
    <w:p>
      <w:pPr>
        <w:spacing w:line="420" w:lineRule="exact"/>
        <w:jc w:val="center"/>
        <w:outlineLvl w:val="0"/>
        <w:rPr>
          <w:rFonts w:ascii="方正仿宋_GBK" w:hAnsi="宋体" w:eastAsia="方正仿宋_GBK"/>
          <w:sz w:val="32"/>
          <w:szCs w:val="32"/>
        </w:rPr>
      </w:pPr>
    </w:p>
    <w:p>
      <w:pPr>
        <w:widowControl/>
        <w:jc w:val="center"/>
        <w:rPr>
          <w:rFonts w:ascii="方正小标宋_GBK" w:hAnsi="宋体" w:eastAsia="方正小标宋_GBK" w:cs="Arial"/>
          <w:bCs/>
          <w:kern w:val="0"/>
          <w:sz w:val="44"/>
          <w:szCs w:val="44"/>
        </w:rPr>
      </w:pPr>
      <w:bookmarkStart w:id="0" w:name="_Toc421089991"/>
      <w:bookmarkStart w:id="1" w:name="_Toc12789052"/>
      <w:bookmarkStart w:id="2" w:name="_Toc11641050"/>
      <w:r>
        <w:rPr>
          <w:rFonts w:hint="eastAsia" w:ascii="方正小标宋_GBK" w:hAnsi="宋体" w:eastAsia="方正小标宋_GBK"/>
          <w:sz w:val="44"/>
          <w:szCs w:val="44"/>
        </w:rPr>
        <w:t xml:space="preserve">第一篇  </w:t>
      </w:r>
      <w:bookmarkEnd w:id="0"/>
      <w:bookmarkEnd w:id="1"/>
      <w:bookmarkEnd w:id="2"/>
      <w:r>
        <w:rPr>
          <w:rFonts w:hint="eastAsia" w:ascii="方正小标宋_GBK" w:hAnsi="宋体" w:eastAsia="方正小标宋_GBK" w:cs="Arial"/>
          <w:bCs/>
          <w:kern w:val="0"/>
          <w:sz w:val="44"/>
          <w:szCs w:val="44"/>
        </w:rPr>
        <w:t>比选邀请书</w:t>
      </w:r>
    </w:p>
    <w:p>
      <w:pPr>
        <w:jc w:val="center"/>
        <w:rPr>
          <w:rFonts w:ascii="方正仿宋_GBK" w:hAnsi="宋体" w:eastAsia="方正仿宋_GBK"/>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bookmarkStart w:id="3" w:name="_Toc102227313"/>
      <w:bookmarkStart w:id="4" w:name="_Toc421089998"/>
      <w:r>
        <w:rPr>
          <w:rFonts w:hint="eastAsia" w:ascii="方正仿宋_GBK" w:hAnsi="宋体" w:eastAsia="方正仿宋_GBK" w:cs="Arial"/>
          <w:bCs/>
          <w:kern w:val="0"/>
          <w:sz w:val="32"/>
          <w:szCs w:val="32"/>
        </w:rPr>
        <w:t>一、比选简介</w:t>
      </w:r>
    </w:p>
    <w:p>
      <w:pPr>
        <w:widowControl/>
        <w:spacing w:line="600" w:lineRule="exact"/>
        <w:ind w:firstLine="627" w:firstLineChars="196"/>
        <w:jc w:val="left"/>
        <w:rPr>
          <w:rFonts w:ascii="方正仿宋_GBK" w:hAnsi="仿宋" w:eastAsia="方正仿宋_GBK"/>
          <w:sz w:val="32"/>
          <w:szCs w:val="32"/>
        </w:rPr>
      </w:pPr>
      <w:r>
        <w:rPr>
          <w:rFonts w:hint="eastAsia" w:ascii="方正仿宋_GBK" w:hAnsi="仿宋" w:eastAsia="方正仿宋_GBK"/>
          <w:sz w:val="32"/>
          <w:szCs w:val="32"/>
        </w:rPr>
        <w:t>重庆临空经济示范区开发建设有限公司现就中新航空产业园（一期）基础设施建设项目专项债发债辅导进行公开比选采购，欢迎有资质的供应商参与。</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二、项目概况</w:t>
      </w:r>
    </w:p>
    <w:p>
      <w:pPr>
        <w:widowControl/>
        <w:spacing w:line="600" w:lineRule="exact"/>
        <w:ind w:firstLine="627" w:firstLineChars="196"/>
        <w:jc w:val="left"/>
        <w:rPr>
          <w:rFonts w:ascii="方正仿宋_GBK" w:hAnsi="仿宋" w:eastAsia="方正仿宋_GBK"/>
          <w:sz w:val="32"/>
          <w:szCs w:val="32"/>
        </w:rPr>
      </w:pPr>
      <w:r>
        <w:rPr>
          <w:rFonts w:hint="eastAsia" w:ascii="方正仿宋_GBK" w:hAnsi="仿宋" w:eastAsia="方正仿宋_GBK"/>
          <w:sz w:val="32"/>
          <w:szCs w:val="32"/>
        </w:rPr>
        <w:t>根据中新两国政府、重庆市政府与新加坡贸工部协议，为落实重庆临空经济示范区开发建设要求，重庆市正加快建设中新（重庆）战略性互联互通示范项目航空产业园（以下简称中新航空产业园）。</w:t>
      </w:r>
    </w:p>
    <w:p>
      <w:pPr>
        <w:widowControl/>
        <w:spacing w:line="600" w:lineRule="exact"/>
        <w:ind w:firstLine="627" w:firstLineChars="196"/>
        <w:jc w:val="left"/>
        <w:rPr>
          <w:rFonts w:ascii="方正仿宋_GBK" w:hAnsi="仿宋" w:eastAsia="方正仿宋_GBK"/>
          <w:sz w:val="32"/>
          <w:szCs w:val="32"/>
        </w:rPr>
      </w:pPr>
      <w:r>
        <w:rPr>
          <w:rFonts w:hint="eastAsia" w:ascii="方正仿宋_GBK" w:hAnsi="仿宋" w:eastAsia="方正仿宋_GBK"/>
          <w:sz w:val="32"/>
          <w:szCs w:val="32"/>
        </w:rPr>
        <w:t>中新航空产业园地处临空经济地块，总投资额约4</w:t>
      </w:r>
      <w:r>
        <w:rPr>
          <w:rFonts w:hint="eastAsia" w:ascii="方正仿宋_GBK" w:hAnsi="仿宋" w:eastAsia="方正仿宋_GBK"/>
          <w:sz w:val="32"/>
          <w:szCs w:val="32"/>
          <w:lang w:val="en-US" w:eastAsia="zh-CN"/>
        </w:rPr>
        <w:t>6</w:t>
      </w:r>
      <w:r>
        <w:rPr>
          <w:rFonts w:hint="eastAsia" w:ascii="方正仿宋_GBK" w:hAnsi="仿宋" w:eastAsia="方正仿宋_GBK"/>
          <w:sz w:val="32"/>
          <w:szCs w:val="32"/>
        </w:rPr>
        <w:t>亿元，项目建设十年，分南北两区开发。北区航空仓储物流产业园，建设内容主要为产业园区内道路及配套设施、河道改道及景观建设、箱涵建设等。南区航空科教产业园，建设内容包括污水处理、电力设施迁改、绿化环保、防洪排污等。</w:t>
      </w:r>
    </w:p>
    <w:p>
      <w:pPr>
        <w:widowControl/>
        <w:spacing w:line="600" w:lineRule="exact"/>
        <w:ind w:firstLine="627" w:firstLineChars="196"/>
        <w:jc w:val="left"/>
        <w:rPr>
          <w:rFonts w:ascii="方正仿宋_GBK" w:hAnsi="仿宋" w:eastAsia="方正仿宋_GBK"/>
          <w:sz w:val="32"/>
          <w:szCs w:val="32"/>
        </w:rPr>
      </w:pPr>
      <w:r>
        <w:rPr>
          <w:rFonts w:hint="eastAsia" w:ascii="方正仿宋_GBK" w:hAnsi="仿宋" w:eastAsia="方正仿宋_GBK"/>
          <w:sz w:val="32"/>
          <w:szCs w:val="32"/>
        </w:rPr>
        <w:t>中新航空产业园项目拟通过申报发行地方政府专项债的方式解决部分资金需求，需选择一家银行进行专项债发债辅导并协助我司在债券存续期间常规和临时的信息披露。</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三、比选资格</w:t>
      </w:r>
    </w:p>
    <w:p>
      <w:pPr>
        <w:spacing w:line="600" w:lineRule="exact"/>
        <w:ind w:firstLine="640" w:firstLineChars="200"/>
        <w:rPr>
          <w:rFonts w:hint="default" w:ascii="方正仿宋_GBK" w:hAnsi="仿宋" w:eastAsia="方正仿宋_GBK"/>
          <w:sz w:val="32"/>
          <w:szCs w:val="32"/>
          <w:lang w:val="en-US" w:eastAsia="zh-CN"/>
        </w:rPr>
      </w:pPr>
      <w:r>
        <w:rPr>
          <w:rFonts w:hint="eastAsia" w:ascii="方正仿宋_GBK" w:hAnsi="仿宋" w:eastAsia="方正仿宋_GBK"/>
          <w:sz w:val="32"/>
          <w:szCs w:val="32"/>
        </w:rPr>
        <w:t>具有承担民事责任的能力</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分行或总行才能参加。</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四、比选文件的获取</w:t>
      </w:r>
    </w:p>
    <w:p>
      <w:pPr>
        <w:widowControl/>
        <w:spacing w:line="600" w:lineRule="exact"/>
        <w:ind w:firstLine="627" w:firstLineChars="196"/>
        <w:jc w:val="left"/>
        <w:rPr>
          <w:rFonts w:ascii="方正仿宋_GBK" w:hAnsi="宋体" w:eastAsia="方正仿宋_GBK" w:cs="Arial"/>
          <w:bCs/>
          <w:kern w:val="0"/>
          <w:sz w:val="32"/>
          <w:szCs w:val="32"/>
        </w:rPr>
      </w:pPr>
      <w:bookmarkStart w:id="5" w:name="_Toc6385"/>
      <w:bookmarkStart w:id="6" w:name="_Toc30463"/>
      <w:bookmarkStart w:id="7" w:name="_Toc30875"/>
      <w:bookmarkStart w:id="8" w:name="_Toc249692991"/>
      <w:bookmarkStart w:id="9" w:name="_Toc243979940"/>
      <w:bookmarkStart w:id="10" w:name="_Toc327799951"/>
      <w:bookmarkStart w:id="11" w:name="_Toc200359242"/>
      <w:bookmarkStart w:id="12" w:name="_Toc328409564"/>
      <w:bookmarkStart w:id="13" w:name="_Toc200359431"/>
      <w:bookmarkStart w:id="14" w:name="_Toc262214822"/>
      <w:bookmarkStart w:id="15" w:name="_Toc262215037"/>
      <w:bookmarkStart w:id="16" w:name="_Toc2600"/>
      <w:bookmarkStart w:id="17" w:name="_Toc252800718"/>
      <w:bookmarkStart w:id="18" w:name="_Toc368062297"/>
      <w:bookmarkStart w:id="19" w:name="_Toc328410012"/>
      <w:bookmarkStart w:id="20" w:name="_Toc274385876"/>
      <w:bookmarkStart w:id="21" w:name="_Toc1249"/>
      <w:bookmarkStart w:id="22" w:name="_Toc17163"/>
      <w:r>
        <w:rPr>
          <w:rFonts w:hint="eastAsia" w:ascii="方正仿宋_GBK" w:hAnsi="宋体" w:eastAsia="方正仿宋_GBK" w:cs="Arial"/>
          <w:bCs/>
          <w:kern w:val="0"/>
          <w:sz w:val="32"/>
          <w:szCs w:val="32"/>
        </w:rPr>
        <w:t>（一）本比选公告开始发布至截止时间止，各供应商应随时在重庆机场集团有限公司（http://</w:t>
      </w:r>
      <w:r>
        <w:t xml:space="preserve"> </w:t>
      </w:r>
      <w:r>
        <w:rPr>
          <w:rFonts w:ascii="方正仿宋_GBK" w:hAnsi="宋体" w:eastAsia="方正仿宋_GBK" w:cs="Arial"/>
          <w:bCs/>
          <w:kern w:val="0"/>
          <w:sz w:val="32"/>
          <w:szCs w:val="32"/>
        </w:rPr>
        <w:t>www.cqa.cn</w:t>
      </w:r>
      <w:r>
        <w:rPr>
          <w:rFonts w:hint="eastAsia" w:ascii="方正仿宋_GBK" w:hAnsi="宋体" w:eastAsia="方正仿宋_GBK" w:cs="Arial"/>
          <w:bCs/>
          <w:kern w:val="0"/>
          <w:sz w:val="32"/>
          <w:szCs w:val="32"/>
        </w:rPr>
        <w:t>）上获取本项目的比选文件等相关资料，并关注本项目修改或补充内容。</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w:t>
      </w:r>
      <w:r>
        <w:rPr>
          <w:rFonts w:hint="eastAsia" w:ascii="方正仿宋_GBK" w:hAnsi="仿宋" w:eastAsia="方正仿宋_GBK"/>
          <w:sz w:val="32"/>
          <w:szCs w:val="32"/>
        </w:rPr>
        <w:t>各供应商对比选文件的质疑应在2020年8月</w:t>
      </w:r>
      <w:r>
        <w:rPr>
          <w:rFonts w:hint="eastAsia" w:ascii="方正仿宋_GBK" w:hAnsi="仿宋" w:eastAsia="方正仿宋_GBK"/>
          <w:sz w:val="32"/>
          <w:szCs w:val="32"/>
          <w:lang w:val="en-US" w:eastAsia="zh-CN"/>
        </w:rPr>
        <w:t>12</w:t>
      </w:r>
      <w:r>
        <w:rPr>
          <w:rFonts w:hint="eastAsia" w:ascii="方正仿宋_GBK" w:hAnsi="仿宋" w:eastAsia="方正仿宋_GBK"/>
          <w:sz w:val="32"/>
          <w:szCs w:val="32"/>
        </w:rPr>
        <w:t>日16:00前书面提交，过期不再受理。</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五、响应文件的递交</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widowControl/>
        <w:spacing w:line="600" w:lineRule="exact"/>
        <w:ind w:firstLine="627" w:firstLineChars="196"/>
        <w:jc w:val="left"/>
        <w:rPr>
          <w:rFonts w:ascii="方正仿宋_GBK" w:hAnsi="仿宋" w:eastAsia="方正仿宋_GBK"/>
          <w:sz w:val="32"/>
          <w:szCs w:val="32"/>
        </w:rPr>
      </w:pPr>
      <w:r>
        <w:rPr>
          <w:rFonts w:hint="eastAsia" w:ascii="方正仿宋_GBK" w:hAnsi="宋体" w:eastAsia="方正仿宋_GBK" w:cs="Arial"/>
          <w:bCs/>
          <w:kern w:val="0"/>
          <w:sz w:val="32"/>
          <w:szCs w:val="32"/>
        </w:rPr>
        <w:t>1.递交截止时间：</w:t>
      </w:r>
      <w:r>
        <w:rPr>
          <w:rFonts w:hint="eastAsia" w:ascii="方正仿宋_GBK" w:hAnsi="仿宋" w:eastAsia="方正仿宋_GBK"/>
          <w:sz w:val="32"/>
          <w:szCs w:val="32"/>
        </w:rPr>
        <w:t>2020年8月1</w:t>
      </w:r>
      <w:r>
        <w:rPr>
          <w:rFonts w:hint="eastAsia" w:ascii="方正仿宋_GBK" w:hAnsi="仿宋" w:eastAsia="方正仿宋_GBK"/>
          <w:sz w:val="32"/>
          <w:szCs w:val="32"/>
          <w:lang w:val="en-US" w:eastAsia="zh-CN"/>
        </w:rPr>
        <w:t>7</w:t>
      </w:r>
      <w:r>
        <w:rPr>
          <w:rFonts w:hint="eastAsia" w:ascii="方正仿宋_GBK" w:hAnsi="仿宋" w:eastAsia="方正仿宋_GBK"/>
          <w:sz w:val="32"/>
          <w:szCs w:val="32"/>
        </w:rPr>
        <w:t xml:space="preserve">日 9:30-10:00 </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2.递交地址：重庆临空经济示范区开发建设有限公司</w:t>
      </w:r>
    </w:p>
    <w:p>
      <w:pPr>
        <w:widowControl/>
        <w:spacing w:line="600" w:lineRule="exact"/>
        <w:ind w:firstLine="627" w:firstLineChars="196"/>
        <w:jc w:val="left"/>
        <w:rPr>
          <w:rFonts w:ascii="方正仿宋_GBK" w:hAnsi="仿宋" w:eastAsia="方正仿宋_GBK"/>
          <w:sz w:val="32"/>
          <w:szCs w:val="32"/>
        </w:rPr>
      </w:pPr>
      <w:r>
        <w:rPr>
          <w:rFonts w:hint="eastAsia" w:ascii="方正仿宋_GBK" w:hAnsi="宋体" w:eastAsia="方正仿宋_GBK" w:cs="Arial"/>
          <w:bCs/>
          <w:kern w:val="0"/>
          <w:sz w:val="32"/>
          <w:szCs w:val="32"/>
        </w:rPr>
        <w:t>3.比选时间：</w:t>
      </w:r>
      <w:r>
        <w:rPr>
          <w:rFonts w:hint="eastAsia" w:ascii="方正仿宋_GBK" w:hAnsi="仿宋" w:eastAsia="方正仿宋_GBK"/>
          <w:sz w:val="32"/>
          <w:szCs w:val="32"/>
        </w:rPr>
        <w:t>2020年8月1</w:t>
      </w:r>
      <w:r>
        <w:rPr>
          <w:rFonts w:hint="eastAsia" w:ascii="方正仿宋_GBK" w:hAnsi="仿宋" w:eastAsia="方正仿宋_GBK"/>
          <w:sz w:val="32"/>
          <w:szCs w:val="32"/>
          <w:lang w:val="en-US" w:eastAsia="zh-CN"/>
        </w:rPr>
        <w:t>7</w:t>
      </w:r>
      <w:r>
        <w:rPr>
          <w:rFonts w:hint="eastAsia" w:ascii="方正仿宋_GBK" w:hAnsi="仿宋" w:eastAsia="方正仿宋_GBK"/>
          <w:sz w:val="32"/>
          <w:szCs w:val="32"/>
        </w:rPr>
        <w:t xml:space="preserve">日 10:00   </w:t>
      </w:r>
    </w:p>
    <w:p>
      <w:pPr>
        <w:widowControl/>
        <w:spacing w:line="600" w:lineRule="exact"/>
        <w:ind w:firstLine="627" w:firstLineChars="196"/>
        <w:jc w:val="left"/>
        <w:rPr>
          <w:rFonts w:ascii="方正仿宋_GBK" w:hAnsi="仿宋" w:eastAsia="方正仿宋_GBK"/>
          <w:sz w:val="32"/>
          <w:szCs w:val="32"/>
        </w:rPr>
      </w:pPr>
      <w:r>
        <w:rPr>
          <w:rFonts w:hint="eastAsia" w:ascii="方正仿宋_GBK" w:hAnsi="仿宋" w:eastAsia="方正仿宋_GBK"/>
          <w:sz w:val="32"/>
          <w:szCs w:val="32"/>
        </w:rPr>
        <w:t>4.比选地点：重庆临空经济示范区开发建设有限公司二会议室。</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5.其他事宜：未按比选文件规定密封和送达的响应文件，采购人不予接收或受理。</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六、现场踏勘</w:t>
      </w:r>
    </w:p>
    <w:p>
      <w:pPr>
        <w:snapToGrid w:val="0"/>
        <w:spacing w:line="600" w:lineRule="exact"/>
        <w:ind w:firstLine="643" w:firstLineChars="200"/>
        <w:rPr>
          <w:rFonts w:ascii="宋体" w:hAnsi="宋体"/>
          <w:sz w:val="24"/>
          <w:szCs w:val="24"/>
        </w:rPr>
      </w:pPr>
      <w:bookmarkStart w:id="23" w:name="_Toc274385878"/>
      <w:bookmarkStart w:id="24" w:name="_Toc11022"/>
      <w:bookmarkStart w:id="25" w:name="_Toc29367"/>
      <w:bookmarkStart w:id="26" w:name="_Toc327799953"/>
      <w:bookmarkStart w:id="27" w:name="_Toc328410014"/>
      <w:bookmarkStart w:id="28" w:name="_Toc252800720"/>
      <w:bookmarkStart w:id="29" w:name="_Toc368062299"/>
      <w:bookmarkStart w:id="30" w:name="_Toc20302"/>
      <w:bookmarkStart w:id="31" w:name="_Toc17054"/>
      <w:bookmarkStart w:id="32" w:name="_Toc328409566"/>
      <w:bookmarkStart w:id="33" w:name="_Toc243063821"/>
      <w:bookmarkStart w:id="34" w:name="_Toc18606"/>
      <w:bookmarkStart w:id="35" w:name="_Toc262214824"/>
      <w:bookmarkStart w:id="36" w:name="_Toc243979942"/>
      <w:bookmarkStart w:id="37" w:name="_Toc24096"/>
      <w:bookmarkStart w:id="38" w:name="_Toc262215039"/>
      <w:bookmarkStart w:id="39" w:name="_Toc249692993"/>
      <w:r>
        <w:rPr>
          <w:rFonts w:hint="eastAsia" w:ascii="方正仿宋_GBK" w:hAnsi="宋体" w:eastAsia="方正仿宋_GBK" w:cs="Arial"/>
          <w:b/>
          <w:bCs/>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之前已经踏勘过现场，对本项目的情况已经十分了解。</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七、联系方式</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Start w:id="62" w:name="_GoBack"/>
      <w:bookmarkEnd w:id="62"/>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联系人：刘老师</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电  话：023-67153976</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2020年8月</w:t>
      </w:r>
      <w:r>
        <w:rPr>
          <w:rFonts w:hint="eastAsia" w:ascii="方正仿宋_GBK" w:hAnsi="宋体" w:eastAsia="方正仿宋_GBK" w:cs="Arial"/>
          <w:bCs/>
          <w:kern w:val="0"/>
          <w:sz w:val="32"/>
          <w:szCs w:val="32"/>
          <w:lang w:val="en-US" w:eastAsia="zh-CN"/>
        </w:rPr>
        <w:t>11</w:t>
      </w:r>
      <w:r>
        <w:rPr>
          <w:rFonts w:hint="eastAsia" w:ascii="方正仿宋_GBK" w:hAnsi="宋体" w:eastAsia="方正仿宋_GBK" w:cs="Arial"/>
          <w:bCs/>
          <w:kern w:val="0"/>
          <w:sz w:val="32"/>
          <w:szCs w:val="32"/>
        </w:rPr>
        <w:t>日</w:t>
      </w: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pStyle w:val="3"/>
        <w:keepNext w:val="0"/>
        <w:keepLines w:val="0"/>
        <w:spacing w:before="0" w:after="0" w:line="360" w:lineRule="auto"/>
        <w:jc w:val="center"/>
        <w:rPr>
          <w:rFonts w:ascii="方正小标宋_GBK" w:hAnsi="宋体" w:eastAsia="方正小标宋_GBK"/>
          <w:b w:val="0"/>
          <w:sz w:val="44"/>
          <w:szCs w:val="44"/>
        </w:rPr>
      </w:pPr>
      <w:r>
        <w:rPr>
          <w:rFonts w:hint="eastAsia" w:ascii="方正小标宋_GBK" w:hAnsi="宋体" w:eastAsia="方正小标宋_GBK"/>
          <w:b w:val="0"/>
          <w:sz w:val="44"/>
          <w:szCs w:val="44"/>
        </w:rPr>
        <w:t>第二篇 项目情况、技术和质量需求</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一、项目情况</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根据中新两国政府、重庆市政府与新加坡贸工部协议，为落实重庆临空经济示范区开发建设要求，重庆市正加快建设中新（重庆）战略性互联互通示范项目航空产业园（以下简称中新航空产业园）。</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中新航空产业园地处临空经济地块，总投资额约4</w:t>
      </w:r>
      <w:r>
        <w:rPr>
          <w:rFonts w:hint="eastAsia" w:ascii="方正仿宋_GBK" w:hAnsi="宋体" w:eastAsia="方正仿宋_GBK" w:cs="Arial"/>
          <w:bCs/>
          <w:kern w:val="0"/>
          <w:sz w:val="32"/>
          <w:szCs w:val="32"/>
          <w:lang w:val="en-US" w:eastAsia="zh-CN"/>
        </w:rPr>
        <w:t>6</w:t>
      </w:r>
      <w:r>
        <w:rPr>
          <w:rFonts w:hint="eastAsia" w:ascii="方正仿宋_GBK" w:hAnsi="宋体" w:eastAsia="方正仿宋_GBK" w:cs="Arial"/>
          <w:bCs/>
          <w:kern w:val="0"/>
          <w:sz w:val="32"/>
          <w:szCs w:val="32"/>
        </w:rPr>
        <w:t>亿元，项目建设十年，分南北两区开发。北区航空仓储物流产业园，建设内容主要为产业园区内道路及配套设施、河道改道及景观建设、箱涵建设等。南区航空科教产业园，建设内容包括污水处理、电力设施迁改、绿化环保、防洪排污等。</w:t>
      </w:r>
    </w:p>
    <w:p>
      <w:pPr>
        <w:widowControl/>
        <w:spacing w:line="600" w:lineRule="exact"/>
        <w:ind w:firstLine="627" w:firstLineChars="196"/>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中新航空产业园项目拟通过申报发行地方政府专项债的方式解决部分资金需求，需选择一家银行进行专项债发债辅导并协助我司在债券存续期间常规和临时的信息披露。</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二、项目技术需求</w:t>
      </w:r>
    </w:p>
    <w:p>
      <w:pPr>
        <w:widowControl/>
        <w:spacing w:line="600" w:lineRule="exact"/>
        <w:ind w:firstLine="627" w:firstLineChars="196"/>
        <w:jc w:val="left"/>
        <w:rPr>
          <w:rFonts w:ascii="方正仿宋_GBK" w:hAnsi="宋体" w:eastAsia="方正仿宋_GBK" w:cs="Arial"/>
          <w:bCs/>
          <w:kern w:val="0"/>
          <w:sz w:val="32"/>
          <w:szCs w:val="32"/>
          <w:highlight w:val="none"/>
        </w:rPr>
      </w:pPr>
      <w:r>
        <w:rPr>
          <w:rFonts w:hint="eastAsia" w:ascii="方正仿宋_GBK" w:hAnsi="宋体" w:eastAsia="方正仿宋_GBK" w:cs="Arial"/>
          <w:bCs/>
          <w:kern w:val="0"/>
          <w:sz w:val="32"/>
          <w:szCs w:val="32"/>
          <w:highlight w:val="none"/>
        </w:rPr>
        <w:t>（一）协助我司筛选符合专项债发行条件的项目，提出项目入库建议，并根据项目收益平衡情况及资金缺口、债券额度合理确定资金使用计划及期限。</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（二）根据确定的专项债发行项目情况，在合理测算项目收入支出的基础上，牵头会计师事务所、律师事务所组成专项服务团队，编制财务评估报告、法律意见书、项目情况说明等相关专项债发行文件。</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协助我司与专项债项目主管部门进行发行方案的沟通和交流，基于与各相关部门的沟通，对实施方案及其他专项债发行必备文件进行调整和完善，使各类发行文件需满足重庆市专项债发行要求，并协助我司在债券存续期间常规和临时的信息披露。</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（四）应我司要求，参加政府部门组织召开的业务会议，解答有关政策问题，提供债券发行及方案设计建议。</w:t>
      </w:r>
    </w:p>
    <w:p>
      <w:pPr>
        <w:widowControl/>
        <w:spacing w:line="600" w:lineRule="exact"/>
        <w:ind w:firstLine="627" w:firstLineChars="196"/>
        <w:jc w:val="left"/>
        <w:rPr>
          <w:rFonts w:ascii="方正仿宋_GBK" w:hAnsi="仿宋" w:eastAsia="方正仿宋_GBK"/>
          <w:sz w:val="32"/>
          <w:szCs w:val="32"/>
        </w:rPr>
      </w:pPr>
      <w:r>
        <w:rPr>
          <w:rFonts w:hint="eastAsia" w:ascii="方正仿宋_GBK" w:hAnsi="仿宋" w:eastAsia="方正仿宋_GBK"/>
          <w:sz w:val="32"/>
          <w:szCs w:val="32"/>
        </w:rPr>
        <w:t>三、项目质量需求</w:t>
      </w:r>
    </w:p>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成交银行应以良好的专业技能及专业操守，按照重庆市专项债发行主管部门要求，按时、保质的向我司提交各类专项债发行文件，确保中新航空产业园基础设施建设项目各期专项债发行成功。</w:t>
      </w:r>
    </w:p>
    <w:p>
      <w:pPr>
        <w:widowControl/>
        <w:spacing w:line="600" w:lineRule="exact"/>
        <w:ind w:firstLine="627" w:firstLineChars="196"/>
        <w:jc w:val="left"/>
        <w:rPr>
          <w:rFonts w:hint="eastAsia" w:ascii="方正仿宋_GBK" w:hAnsi="宋体" w:eastAsia="方正仿宋_GBK" w:cs="Arial"/>
          <w:bCs/>
          <w:kern w:val="0"/>
          <w:sz w:val="32"/>
          <w:szCs w:val="32"/>
        </w:rPr>
      </w:pPr>
    </w:p>
    <w:p>
      <w:pPr>
        <w:widowControl/>
        <w:spacing w:line="600" w:lineRule="exact"/>
        <w:ind w:firstLine="627" w:firstLineChars="196"/>
        <w:jc w:val="left"/>
        <w:rPr>
          <w:rFonts w:hint="eastAsia" w:ascii="方正仿宋_GBK" w:hAnsi="宋体" w:eastAsia="方正仿宋_GBK" w:cs="Arial"/>
          <w:bCs/>
          <w:kern w:val="0"/>
          <w:sz w:val="32"/>
          <w:szCs w:val="32"/>
        </w:rPr>
      </w:pPr>
    </w:p>
    <w:p>
      <w:pPr>
        <w:widowControl/>
        <w:spacing w:line="600" w:lineRule="exact"/>
        <w:ind w:firstLine="627" w:firstLineChars="196"/>
        <w:jc w:val="left"/>
        <w:rPr>
          <w:rFonts w:hint="eastAsia"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hint="eastAsia" w:ascii="方正仿宋_GBK" w:hAnsi="宋体" w:eastAsia="方正仿宋_GBK" w:cs="Arial"/>
          <w:bCs/>
          <w:kern w:val="0"/>
          <w:sz w:val="32"/>
          <w:szCs w:val="32"/>
        </w:rPr>
      </w:pPr>
    </w:p>
    <w:p>
      <w:pPr>
        <w:widowControl/>
        <w:spacing w:line="600" w:lineRule="exact"/>
        <w:ind w:firstLine="627" w:firstLineChars="196"/>
        <w:jc w:val="left"/>
        <w:rPr>
          <w:rFonts w:hint="eastAsia"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widowControl/>
        <w:spacing w:line="600" w:lineRule="exact"/>
        <w:ind w:firstLine="627" w:firstLineChars="196"/>
        <w:jc w:val="left"/>
        <w:rPr>
          <w:rFonts w:ascii="方正仿宋_GBK" w:hAnsi="宋体" w:eastAsia="方正仿宋_GBK" w:cs="Arial"/>
          <w:bCs/>
          <w:kern w:val="0"/>
          <w:sz w:val="32"/>
          <w:szCs w:val="32"/>
        </w:rPr>
      </w:pPr>
    </w:p>
    <w:p>
      <w:pPr>
        <w:pStyle w:val="3"/>
        <w:keepNext w:val="0"/>
        <w:keepLines w:val="0"/>
        <w:spacing w:before="0" w:after="0" w:line="360" w:lineRule="auto"/>
        <w:jc w:val="center"/>
        <w:rPr>
          <w:rFonts w:hint="eastAsia" w:ascii="方正小标宋_GBK" w:hAnsi="宋体" w:eastAsia="方正小标宋_GBK"/>
          <w:b w:val="0"/>
          <w:sz w:val="44"/>
          <w:szCs w:val="44"/>
        </w:rPr>
      </w:pPr>
      <w:bookmarkStart w:id="40" w:name="_Toc19121"/>
      <w:bookmarkStart w:id="41" w:name="_Toc12789058"/>
    </w:p>
    <w:p>
      <w:pPr>
        <w:rPr>
          <w:rFonts w:hint="eastAsia"/>
        </w:rPr>
      </w:pPr>
    </w:p>
    <w:p/>
    <w:p>
      <w:pPr>
        <w:pStyle w:val="3"/>
        <w:keepNext w:val="0"/>
        <w:keepLines w:val="0"/>
        <w:spacing w:before="0" w:after="0" w:line="360" w:lineRule="auto"/>
        <w:jc w:val="center"/>
        <w:rPr>
          <w:rFonts w:ascii="方正小标宋_GBK" w:hAnsi="宋体" w:eastAsia="方正小标宋_GBK"/>
          <w:b w:val="0"/>
          <w:sz w:val="44"/>
          <w:szCs w:val="44"/>
        </w:rPr>
      </w:pPr>
      <w:r>
        <w:rPr>
          <w:rFonts w:hint="eastAsia" w:ascii="方正小标宋_GBK" w:hAnsi="宋体" w:eastAsia="方正小标宋_GBK"/>
          <w:b w:val="0"/>
          <w:sz w:val="44"/>
          <w:szCs w:val="44"/>
        </w:rPr>
        <w:t>第三篇  项目商务需求</w:t>
      </w:r>
      <w:bookmarkEnd w:id="40"/>
      <w:bookmarkEnd w:id="41"/>
    </w:p>
    <w:p>
      <w:pPr>
        <w:widowControl/>
        <w:numPr>
          <w:ilvl w:val="0"/>
          <w:numId w:val="1"/>
        </w:numPr>
        <w:spacing w:line="600" w:lineRule="exact"/>
        <w:ind w:firstLine="640" w:firstLineChars="2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项目限价</w:t>
      </w:r>
    </w:p>
    <w:p>
      <w:pPr>
        <w:widowControl/>
        <w:spacing w:line="600" w:lineRule="exact"/>
        <w:ind w:left="64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本项目限价</w:t>
      </w:r>
      <w:r>
        <w:rPr>
          <w:rFonts w:hint="eastAsia" w:ascii="方正仿宋_GBK" w:hAnsi="宋体" w:eastAsia="方正仿宋_GBK" w:cs="Arial"/>
          <w:bCs/>
          <w:kern w:val="0"/>
          <w:sz w:val="32"/>
          <w:szCs w:val="32"/>
          <w:highlight w:val="none"/>
          <w:lang w:val="en-US" w:eastAsia="zh-CN"/>
        </w:rPr>
        <w:t>15</w:t>
      </w:r>
      <w:r>
        <w:rPr>
          <w:rFonts w:hint="eastAsia" w:ascii="方正仿宋_GBK" w:hAnsi="宋体" w:eastAsia="方正仿宋_GBK" w:cs="Arial"/>
          <w:bCs/>
          <w:kern w:val="0"/>
          <w:sz w:val="32"/>
          <w:szCs w:val="32"/>
          <w:highlight w:val="none"/>
        </w:rPr>
        <w:t>万元。</w:t>
      </w:r>
    </w:p>
    <w:p>
      <w:pPr>
        <w:widowControl/>
        <w:numPr>
          <w:ilvl w:val="0"/>
          <w:numId w:val="1"/>
        </w:numPr>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交付时间和要求</w:t>
      </w:r>
    </w:p>
    <w:p>
      <w:pPr>
        <w:widowControl/>
        <w:spacing w:line="600" w:lineRule="exact"/>
        <w:ind w:firstLine="640" w:firstLineChars="200"/>
        <w:jc w:val="left"/>
        <w:rPr>
          <w:rFonts w:hint="eastAsia" w:ascii="方正仿宋_GBK" w:hAnsi="仿宋" w:eastAsia="方正仿宋_GBK"/>
          <w:sz w:val="32"/>
          <w:szCs w:val="32"/>
        </w:rPr>
      </w:pPr>
      <w:r>
        <w:rPr>
          <w:rFonts w:hint="eastAsia" w:ascii="方正仿宋_GBK" w:hAnsi="仿宋" w:eastAsia="方正仿宋_GBK"/>
          <w:sz w:val="32"/>
          <w:szCs w:val="32"/>
        </w:rPr>
        <w:t>按照重庆市专项债发行主管部门确定的时间，提交本项目财务评估报告、法律意见书、项目情况说明等专项债发行文件。</w:t>
      </w:r>
    </w:p>
    <w:p>
      <w:pPr>
        <w:widowControl/>
        <w:spacing w:line="600" w:lineRule="exact"/>
        <w:ind w:firstLine="640" w:firstLineChars="200"/>
        <w:jc w:val="left"/>
        <w:rPr>
          <w:rFonts w:ascii="方正仿宋_GBK" w:hAnsi="宋体" w:eastAsia="方正仿宋_GBK" w:cs="Arial"/>
          <w:bCs/>
          <w:kern w:val="0"/>
          <w:sz w:val="32"/>
          <w:szCs w:val="32"/>
        </w:rPr>
      </w:pPr>
      <w:bookmarkStart w:id="42" w:name="_Toc344475121"/>
      <w:bookmarkStart w:id="43" w:name="_Toc29156"/>
      <w:r>
        <w:rPr>
          <w:rFonts w:hint="eastAsia" w:ascii="方正仿宋_GBK" w:hAnsi="宋体" w:eastAsia="方正仿宋_GBK" w:cs="Arial"/>
          <w:bCs/>
          <w:kern w:val="0"/>
          <w:sz w:val="32"/>
          <w:szCs w:val="32"/>
        </w:rPr>
        <w:t>三、</w:t>
      </w:r>
      <w:bookmarkEnd w:id="42"/>
      <w:r>
        <w:rPr>
          <w:rFonts w:hint="eastAsia" w:ascii="方正仿宋_GBK" w:hAnsi="宋体" w:eastAsia="方正仿宋_GBK" w:cs="Arial"/>
          <w:bCs/>
          <w:kern w:val="0"/>
          <w:sz w:val="32"/>
          <w:szCs w:val="32"/>
        </w:rPr>
        <w:t>报价要求</w:t>
      </w:r>
      <w:bookmarkEnd w:id="43"/>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仿宋" w:eastAsia="方正仿宋_GBK"/>
          <w:sz w:val="32"/>
          <w:szCs w:val="32"/>
        </w:rPr>
        <w:t>本次报价须为人民币报价，包含完成本项目的所有费用：人员费、交通费、住宿费、印刷费、</w:t>
      </w:r>
      <w:r>
        <w:rPr>
          <w:rFonts w:hint="eastAsia" w:eastAsia="方正仿宋_GBK"/>
          <w:sz w:val="32"/>
          <w:szCs w:val="32"/>
        </w:rPr>
        <w:t>评审费、</w:t>
      </w:r>
      <w:r>
        <w:rPr>
          <w:rFonts w:hint="eastAsia" w:ascii="方正仿宋_GBK" w:hAnsi="仿宋" w:eastAsia="方正仿宋_GBK"/>
          <w:sz w:val="32"/>
          <w:szCs w:val="32"/>
        </w:rPr>
        <w:t>税费</w:t>
      </w:r>
      <w:r>
        <w:rPr>
          <w:rFonts w:hint="eastAsia" w:ascii="方正仿宋_GBK" w:hAnsi="宋体" w:eastAsia="方正仿宋_GBK" w:cs="Arial"/>
          <w:bCs/>
          <w:kern w:val="0"/>
          <w:sz w:val="32"/>
          <w:szCs w:val="32"/>
        </w:rPr>
        <w:t>等一切可预见和不可预见费用</w:t>
      </w:r>
      <w:r>
        <w:rPr>
          <w:rFonts w:hint="eastAsia" w:ascii="方正仿宋_GBK" w:hAnsi="仿宋" w:eastAsia="方正仿宋_GBK"/>
          <w:sz w:val="32"/>
          <w:szCs w:val="32"/>
        </w:rPr>
        <w:t>。</w:t>
      </w:r>
      <w:r>
        <w:rPr>
          <w:rFonts w:hint="eastAsia" w:ascii="方正仿宋_GBK" w:hAnsi="宋体" w:eastAsia="方正仿宋_GBK" w:cs="Arial"/>
          <w:bCs/>
          <w:kern w:val="0"/>
          <w:sz w:val="32"/>
          <w:szCs w:val="32"/>
        </w:rPr>
        <w:t>因成交人自身原因造成漏报、少报皆由其自行承担责任，采购人不再补偿。</w:t>
      </w:r>
    </w:p>
    <w:p>
      <w:pPr>
        <w:widowControl/>
        <w:spacing w:line="600" w:lineRule="exact"/>
        <w:ind w:firstLine="640" w:firstLineChars="200"/>
        <w:jc w:val="left"/>
        <w:rPr>
          <w:rFonts w:ascii="方正仿宋_GBK" w:hAnsi="宋体" w:eastAsia="方正仿宋_GBK" w:cs="Arial"/>
          <w:bCs/>
          <w:kern w:val="0"/>
          <w:sz w:val="32"/>
          <w:szCs w:val="32"/>
        </w:rPr>
      </w:pPr>
      <w:bookmarkStart w:id="44" w:name="_Toc14076"/>
      <w:r>
        <w:rPr>
          <w:rFonts w:hint="eastAsia" w:ascii="方正仿宋_GBK" w:hAnsi="宋体" w:eastAsia="方正仿宋_GBK" w:cs="Arial"/>
          <w:bCs/>
          <w:kern w:val="0"/>
          <w:sz w:val="32"/>
          <w:szCs w:val="32"/>
        </w:rPr>
        <w:t>四、付款方式</w:t>
      </w:r>
      <w:bookmarkEnd w:id="44"/>
    </w:p>
    <w:p>
      <w:pPr>
        <w:widowControl/>
        <w:spacing w:line="600" w:lineRule="exact"/>
        <w:ind w:firstLine="640" w:firstLineChars="200"/>
        <w:jc w:val="left"/>
        <w:rPr>
          <w:rFonts w:ascii="方正仿宋_GBK" w:hAnsi="仿宋" w:eastAsia="方正仿宋_GBK"/>
          <w:sz w:val="32"/>
          <w:szCs w:val="32"/>
        </w:rPr>
      </w:pPr>
      <w:r>
        <w:rPr>
          <w:rFonts w:hint="eastAsia" w:ascii="方正仿宋_GBK" w:hAnsi="仿宋" w:eastAsia="方正仿宋_GBK"/>
          <w:sz w:val="32"/>
          <w:szCs w:val="32"/>
        </w:rPr>
        <w:t>成交人提交符合要求的本项目财务评估报告、法律意见书、项目情况说明等专项债发行文件后采购人一次性支付全部费用。付款之前成交人需开具正规的等额有效的增值税专用发票，经公司审核后15个工作日内支付。若成交人未按约定提供发票，采购人有权拒绝支付任何款项并不承担逾期付款违约责任。</w:t>
      </w:r>
    </w:p>
    <w:p>
      <w:pPr>
        <w:spacing w:line="520" w:lineRule="exact"/>
        <w:ind w:firstLine="640" w:firstLineChars="200"/>
        <w:rPr>
          <w:rFonts w:ascii="方正仿宋_GBK" w:hAnsi="宋体" w:eastAsia="方正仿宋_GBK" w:cs="Arial"/>
          <w:bCs/>
          <w:kern w:val="0"/>
          <w:sz w:val="32"/>
          <w:szCs w:val="32"/>
        </w:rPr>
      </w:pPr>
      <w:r>
        <w:rPr>
          <w:rFonts w:hint="eastAsia" w:ascii="方正仿宋_GBK" w:hAnsi="仿宋" w:eastAsia="方正仿宋_GBK"/>
          <w:sz w:val="32"/>
          <w:szCs w:val="32"/>
        </w:rPr>
        <w:t>五、</w:t>
      </w:r>
      <w:bookmarkStart w:id="45" w:name="_Toc31270"/>
      <w:r>
        <w:rPr>
          <w:rFonts w:hint="eastAsia" w:ascii="方正仿宋_GBK" w:hAnsi="宋体" w:eastAsia="方正仿宋_GBK" w:cs="Arial"/>
          <w:bCs/>
          <w:kern w:val="0"/>
          <w:sz w:val="32"/>
          <w:szCs w:val="32"/>
        </w:rPr>
        <w:t>其他</w:t>
      </w:r>
      <w:bookmarkEnd w:id="45"/>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其他未尽事宜由在采购合同中详细约定。</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pStyle w:val="3"/>
        <w:keepNext w:val="0"/>
        <w:keepLines w:val="0"/>
        <w:spacing w:before="0" w:after="0" w:line="580" w:lineRule="exact"/>
        <w:jc w:val="center"/>
        <w:rPr>
          <w:rFonts w:ascii="方正小标宋_GBK" w:hAnsi="宋体" w:eastAsia="方正小标宋_GBK"/>
          <w:b w:val="0"/>
          <w:sz w:val="44"/>
          <w:szCs w:val="44"/>
        </w:rPr>
      </w:pPr>
      <w:bookmarkStart w:id="46" w:name="_Toc14565"/>
      <w:r>
        <w:rPr>
          <w:rFonts w:hint="eastAsia" w:ascii="方正小标宋_GBK" w:hAnsi="宋体" w:eastAsia="方正小标宋_GBK"/>
          <w:b w:val="0"/>
          <w:sz w:val="44"/>
          <w:szCs w:val="44"/>
        </w:rPr>
        <w:t>第四篇  比选程序及方法、评审标准、无效响应和</w:t>
      </w:r>
      <w:r>
        <w:rPr>
          <w:rFonts w:hint="eastAsia" w:ascii="方正小标宋_GBK" w:eastAsia="方正小标宋_GBK"/>
          <w:b w:val="0"/>
          <w:sz w:val="44"/>
          <w:szCs w:val="44"/>
        </w:rPr>
        <w:t>采购终止</w:t>
      </w:r>
      <w:bookmarkEnd w:id="46"/>
    </w:p>
    <w:p>
      <w:pPr>
        <w:widowControl/>
        <w:spacing w:line="600" w:lineRule="exact"/>
        <w:ind w:firstLine="640" w:firstLineChars="200"/>
        <w:jc w:val="left"/>
        <w:rPr>
          <w:rFonts w:ascii="方正仿宋_GBK" w:hAnsi="宋体" w:eastAsia="方正仿宋_GBK" w:cs="Arial"/>
          <w:bCs/>
          <w:kern w:val="0"/>
          <w:sz w:val="32"/>
          <w:szCs w:val="32"/>
        </w:rPr>
      </w:pPr>
      <w:bookmarkStart w:id="47" w:name="_Toc11973"/>
      <w:r>
        <w:rPr>
          <w:rFonts w:hint="eastAsia" w:ascii="方正仿宋_GBK" w:hAnsi="宋体" w:eastAsia="方正仿宋_GBK" w:cs="Arial"/>
          <w:bCs/>
          <w:kern w:val="0"/>
          <w:sz w:val="32"/>
          <w:szCs w:val="32"/>
        </w:rPr>
        <w:t>一、比选程序及方法</w:t>
      </w:r>
      <w:bookmarkEnd w:id="47"/>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（一）比选按比选文件规定的时间和地点进行，供应商须有</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或其授权代表参加并签到。</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（二）比选小组对各供应商的资格条件、响应文件的有效性、完整性和响应程度进行审查。各供应商只有在完全符合要求的前提下，才能参与比选。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1、资格性检查。依据法律法规和比选文件的规定，对响应文件中的资格证明、比选保证金等进行审查，以确定供应商是否具备比选资格。资格性检查资料表如下：</w:t>
      </w:r>
    </w:p>
    <w:tbl>
      <w:tblPr>
        <w:tblStyle w:val="5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838"/>
        <w:gridCol w:w="3007"/>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70" w:type="dxa"/>
            <w:vAlign w:val="center"/>
          </w:tcPr>
          <w:p>
            <w:pPr>
              <w:spacing w:line="390" w:lineRule="exact"/>
              <w:rPr>
                <w:rFonts w:ascii="方正仿宋_GBK" w:hAnsi="宋体" w:eastAsia="方正仿宋_GBK"/>
                <w:sz w:val="24"/>
                <w:szCs w:val="24"/>
              </w:rPr>
            </w:pPr>
            <w:r>
              <w:rPr>
                <w:rFonts w:hint="eastAsia" w:ascii="方正仿宋_GBK" w:hAnsi="宋体" w:eastAsia="方正仿宋_GBK"/>
                <w:sz w:val="24"/>
                <w:szCs w:val="24"/>
              </w:rPr>
              <w:t>序号</w:t>
            </w:r>
          </w:p>
        </w:tc>
        <w:tc>
          <w:tcPr>
            <w:tcW w:w="3845" w:type="dxa"/>
            <w:gridSpan w:val="2"/>
            <w:vAlign w:val="center"/>
          </w:tcPr>
          <w:p>
            <w:pPr>
              <w:spacing w:line="390" w:lineRule="exact"/>
              <w:rPr>
                <w:rFonts w:ascii="方正仿宋_GBK" w:hAnsi="宋体" w:eastAsia="方正仿宋_GBK"/>
                <w:sz w:val="24"/>
                <w:szCs w:val="24"/>
              </w:rPr>
            </w:pPr>
            <w:r>
              <w:rPr>
                <w:rFonts w:hint="eastAsia" w:ascii="方正仿宋_GBK" w:hAnsi="宋体" w:eastAsia="方正仿宋_GBK"/>
                <w:sz w:val="24"/>
                <w:szCs w:val="24"/>
              </w:rPr>
              <w:t>审查因素</w:t>
            </w:r>
          </w:p>
        </w:tc>
        <w:tc>
          <w:tcPr>
            <w:tcW w:w="4848" w:type="dxa"/>
            <w:vAlign w:val="center"/>
          </w:tcPr>
          <w:p>
            <w:pPr>
              <w:spacing w:line="390" w:lineRule="exact"/>
              <w:rPr>
                <w:rFonts w:ascii="方正仿宋_GBK" w:hAnsi="宋体" w:eastAsia="方正仿宋_GBK"/>
                <w:sz w:val="24"/>
                <w:szCs w:val="24"/>
              </w:rPr>
            </w:pPr>
            <w:r>
              <w:rPr>
                <w:rFonts w:hint="eastAsia" w:ascii="方正仿宋_GBK" w:hAnsi="宋体" w:eastAsia="方正仿宋_GBK"/>
                <w:sz w:val="24"/>
                <w:szCs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1070" w:type="dxa"/>
            <w:vAlign w:val="center"/>
          </w:tcPr>
          <w:p>
            <w:pPr>
              <w:spacing w:line="390" w:lineRule="exact"/>
              <w:ind w:firstLine="240" w:firstLineChars="100"/>
              <w:rPr>
                <w:rFonts w:ascii="方正仿宋_GBK" w:hAnsi="宋体" w:eastAsia="方正仿宋_GBK"/>
                <w:sz w:val="24"/>
                <w:szCs w:val="24"/>
              </w:rPr>
            </w:pPr>
            <w:r>
              <w:rPr>
                <w:rFonts w:hint="eastAsia" w:ascii="方正仿宋_GBK" w:hAnsi="宋体" w:eastAsia="方正仿宋_GBK"/>
                <w:sz w:val="24"/>
                <w:szCs w:val="24"/>
              </w:rPr>
              <w:t>1</w:t>
            </w:r>
          </w:p>
        </w:tc>
        <w:tc>
          <w:tcPr>
            <w:tcW w:w="838" w:type="dxa"/>
            <w:vAlign w:val="center"/>
          </w:tcPr>
          <w:p>
            <w:pPr>
              <w:spacing w:line="390" w:lineRule="exact"/>
              <w:rPr>
                <w:rFonts w:ascii="方正仿宋_GBK" w:hAnsi="宋体" w:eastAsia="方正仿宋_GBK"/>
                <w:sz w:val="24"/>
                <w:szCs w:val="24"/>
              </w:rPr>
            </w:pPr>
            <w:r>
              <w:rPr>
                <w:rFonts w:hint="eastAsia" w:ascii="方正仿宋_GBK" w:hAnsi="宋体" w:eastAsia="方正仿宋_GBK"/>
                <w:sz w:val="24"/>
                <w:szCs w:val="24"/>
              </w:rPr>
              <w:t>供应商应符合的资格条件</w:t>
            </w:r>
          </w:p>
        </w:tc>
        <w:tc>
          <w:tcPr>
            <w:tcW w:w="3007" w:type="dxa"/>
            <w:shd w:val="clear" w:color="auto" w:fill="FFFFFF" w:themeFill="background1"/>
            <w:vAlign w:val="center"/>
          </w:tcPr>
          <w:p>
            <w:pPr>
              <w:spacing w:line="39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具有承担民事责任的能力，分行或总行的银行才能参加</w:t>
            </w:r>
          </w:p>
        </w:tc>
        <w:tc>
          <w:tcPr>
            <w:tcW w:w="4848" w:type="dxa"/>
            <w:shd w:val="clear" w:color="auto" w:fill="FFFFFF" w:themeFill="background1"/>
            <w:vAlign w:val="center"/>
          </w:tcPr>
          <w:p>
            <w:pPr>
              <w:spacing w:line="39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比选供应商营业执照、税务登记证、组织机构代码证复印件；</w:t>
            </w:r>
          </w:p>
          <w:p>
            <w:pPr>
              <w:spacing w:line="39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比选供应商法定代表人或负责人身份证明和法定代表人或负责人授权代表委托书；</w:t>
            </w:r>
          </w:p>
          <w:p>
            <w:pPr>
              <w:spacing w:line="39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法定代表人或负责人或其授权代表须在比选供应商单位2020年1月至2020年6月连续缴纳社会保障金证明材料（以社保局出具的加盖有社保公章的证明原件为准）；</w:t>
            </w:r>
          </w:p>
        </w:tc>
      </w:tr>
    </w:tbl>
    <w:p>
      <w:pPr>
        <w:widowControl/>
        <w:spacing w:line="600" w:lineRule="exact"/>
        <w:ind w:firstLine="627" w:firstLineChars="196"/>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注：供应商按“三证合一”登记制度办理营业执照的，组织机构代码证以供应商所提供的营业执照（副本）复印件为准。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2、符合性检查。依据比选文件的规定，从响应文件的有效性、完整性和对比选文件的响应程度进行审查，以确定是否对比选文件的实质性要求作出响应。符合性检查资料表如下：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w:t>
            </w:r>
            <w:r>
              <w:rPr>
                <w:rFonts w:hint="eastAsia" w:ascii="方正仿宋_GBK" w:hAnsi="宋体" w:eastAsia="方正仿宋_GBK"/>
                <w:sz w:val="21"/>
                <w:szCs w:val="21"/>
                <w:lang w:eastAsia="zh-CN"/>
              </w:rPr>
              <w:t>法定代表人或负责人</w:t>
            </w:r>
            <w:r>
              <w:rPr>
                <w:rFonts w:hint="eastAsia" w:ascii="方正仿宋_GBK" w:hAnsi="宋体" w:eastAsia="方正仿宋_GBK"/>
                <w:sz w:val="21"/>
                <w:szCs w:val="21"/>
              </w:rPr>
              <w:t>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lang w:eastAsia="zh-CN"/>
              </w:rPr>
              <w:t>法定代表人或负责人</w:t>
            </w:r>
            <w:r>
              <w:rPr>
                <w:rFonts w:hint="eastAsia" w:ascii="方正仿宋_GBK" w:hAnsi="宋体" w:eastAsia="方正仿宋_GBK"/>
                <w:sz w:val="21"/>
                <w:szCs w:val="21"/>
              </w:rPr>
              <w:t>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lang w:eastAsia="zh-CN"/>
              </w:rPr>
              <w:t>法定代表人或负责人</w:t>
            </w:r>
            <w:r>
              <w:rPr>
                <w:rFonts w:hint="eastAsia" w:ascii="方正仿宋_GBK" w:hAnsi="宋体" w:eastAsia="方正仿宋_GBK"/>
                <w:sz w:val="21"/>
                <w:szCs w:val="21"/>
              </w:rPr>
              <w:t>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原件备查</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采购人对响应文件复印不清晰或有疑问等的供应商需提供原件。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比选</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w:t>
            </w:r>
          </w:p>
        </w:tc>
        <w:tc>
          <w:tcPr>
            <w:tcW w:w="5409"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比选文件的响应程度审查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对比选文件规定的比选内容作出响应。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满足比选文件</w:t>
            </w:r>
            <w:r>
              <w:rPr>
                <w:rFonts w:hint="eastAsia" w:ascii="方正仿宋_GBK" w:hAnsi="宋体" w:eastAsia="方正仿宋_GBK" w:cs="仿宋_GB2312"/>
                <w:sz w:val="21"/>
                <w:szCs w:val="21"/>
                <w:lang w:val="zh-CN"/>
              </w:rPr>
              <w:t>规定。</w:t>
            </w:r>
          </w:p>
        </w:tc>
      </w:tr>
    </w:tbl>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（四）比选小组要求供应商澄清、说明或者更正响应文件应当以书面形式作出。供应商的澄清、说明或者更正应当由</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或其授权代表签字或者加盖公章。由授权代表签字的，应当附</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授权书。</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（五）在比选过程中比选的任何一方不得向他人透露与比选有关的技术资料、价格或其他信息。</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作出的实质性变动是比选文件的有效组成部分，比选小组应当及时以书面形式同时通知所有参加比选的供应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（七）供应商在比选时作出的所有书面承诺须由</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或其授权代表签字。</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（八）比选小组采用</w:t>
      </w:r>
      <w:r>
        <w:rPr>
          <w:rFonts w:hint="eastAsia" w:ascii="方正仿宋_GBK" w:hAnsi="仿宋" w:eastAsia="方正仿宋_GBK"/>
          <w:kern w:val="0"/>
          <w:sz w:val="32"/>
          <w:szCs w:val="32"/>
        </w:rPr>
        <w:t>综合评估法</w:t>
      </w:r>
      <w:r>
        <w:rPr>
          <w:rFonts w:hint="eastAsia" w:ascii="方正仿宋_GBK" w:hAnsi="宋体" w:eastAsia="方正仿宋_GBK" w:cs="Arial"/>
          <w:bCs/>
          <w:kern w:val="0"/>
          <w:sz w:val="32"/>
          <w:szCs w:val="32"/>
        </w:rPr>
        <w:t>对供应商的响应文件和报价（含有效书面承诺）进行综合评分。</w:t>
      </w:r>
      <w:r>
        <w:rPr>
          <w:rFonts w:hint="eastAsia" w:ascii="方正仿宋_GBK" w:hAnsi="仿宋" w:eastAsia="方正仿宋_GBK"/>
          <w:kern w:val="0"/>
          <w:sz w:val="32"/>
          <w:szCs w:val="32"/>
        </w:rPr>
        <w:t>综合评估法</w:t>
      </w:r>
      <w:r>
        <w:rPr>
          <w:rFonts w:hint="eastAsia" w:ascii="方正仿宋_GBK" w:hAnsi="宋体" w:eastAsia="方正仿宋_GBK" w:cs="Arial"/>
          <w:bCs/>
          <w:kern w:val="0"/>
          <w:sz w:val="32"/>
          <w:szCs w:val="32"/>
        </w:rPr>
        <w:t>，是指响应</w:t>
      </w:r>
      <w:r>
        <w:rPr>
          <w:rFonts w:ascii="方正仿宋_GBK" w:hAnsi="宋体" w:eastAsia="方正仿宋_GBK" w:cs="Arial"/>
          <w:bCs/>
          <w:kern w:val="0"/>
          <w:sz w:val="32"/>
          <w:szCs w:val="32"/>
        </w:rPr>
        <w:t>文件满足</w:t>
      </w:r>
      <w:r>
        <w:rPr>
          <w:rFonts w:hint="eastAsia" w:ascii="方正仿宋_GBK" w:hAnsi="宋体" w:eastAsia="方正仿宋_GBK" w:cs="Arial"/>
          <w:bCs/>
          <w:kern w:val="0"/>
          <w:sz w:val="32"/>
          <w:szCs w:val="32"/>
        </w:rPr>
        <w:t>比选</w:t>
      </w:r>
      <w:r>
        <w:rPr>
          <w:rFonts w:ascii="方正仿宋_GBK" w:hAnsi="宋体" w:eastAsia="方正仿宋_GBK" w:cs="Arial"/>
          <w:bCs/>
          <w:kern w:val="0"/>
          <w:sz w:val="32"/>
          <w:szCs w:val="32"/>
        </w:rPr>
        <w:t>文件全部实质性要求且按照评审因素的量化指标评审得分最高的供应商为</w:t>
      </w:r>
      <w:r>
        <w:rPr>
          <w:rFonts w:hint="eastAsia" w:ascii="方正仿宋_GBK" w:hAnsi="宋体" w:eastAsia="方正仿宋_GBK" w:cs="Arial"/>
          <w:bCs/>
          <w:kern w:val="0"/>
          <w:sz w:val="32"/>
          <w:szCs w:val="32"/>
        </w:rPr>
        <w:t>成交</w:t>
      </w:r>
      <w:r>
        <w:rPr>
          <w:rFonts w:ascii="方正仿宋_GBK" w:hAnsi="宋体" w:eastAsia="方正仿宋_GBK" w:cs="Arial"/>
          <w:bCs/>
          <w:kern w:val="0"/>
          <w:sz w:val="32"/>
          <w:szCs w:val="32"/>
        </w:rPr>
        <w:t>候选</w:t>
      </w:r>
      <w:r>
        <w:rPr>
          <w:rFonts w:hint="eastAsia" w:ascii="方正仿宋_GBK" w:hAnsi="宋体" w:eastAsia="方正仿宋_GBK" w:cs="Arial"/>
          <w:bCs/>
          <w:kern w:val="0"/>
          <w:sz w:val="32"/>
          <w:szCs w:val="32"/>
        </w:rPr>
        <w:t>供应商</w:t>
      </w:r>
      <w:r>
        <w:rPr>
          <w:rFonts w:ascii="方正仿宋_GBK" w:hAnsi="宋体" w:eastAsia="方正仿宋_GBK" w:cs="Arial"/>
          <w:bCs/>
          <w:kern w:val="0"/>
          <w:sz w:val="32"/>
          <w:szCs w:val="32"/>
        </w:rPr>
        <w:t>的</w:t>
      </w:r>
      <w:r>
        <w:rPr>
          <w:rFonts w:hint="eastAsia" w:ascii="方正仿宋_GBK" w:hAnsi="宋体" w:eastAsia="方正仿宋_GBK" w:cs="Arial"/>
          <w:bCs/>
          <w:kern w:val="0"/>
          <w:sz w:val="32"/>
          <w:szCs w:val="32"/>
        </w:rPr>
        <w:t>评审</w:t>
      </w:r>
      <w:r>
        <w:rPr>
          <w:rFonts w:ascii="方正仿宋_GBK" w:hAnsi="宋体" w:eastAsia="方正仿宋_GBK" w:cs="Arial"/>
          <w:bCs/>
          <w:kern w:val="0"/>
          <w:sz w:val="32"/>
          <w:szCs w:val="32"/>
        </w:rPr>
        <w:t>方法</w:t>
      </w:r>
      <w:r>
        <w:rPr>
          <w:rFonts w:hint="eastAsia" w:ascii="方正仿宋_GBK" w:hAnsi="宋体" w:eastAsia="方正仿宋_GBK" w:cs="Arial"/>
          <w:bCs/>
          <w:kern w:val="0"/>
          <w:sz w:val="32"/>
          <w:szCs w:val="32"/>
        </w:rPr>
        <w:t>。供应商总得分为各项评定因素分别按照相应权重值计算分项得分后相加，满分为100分（详见评审标准）。</w:t>
      </w:r>
    </w:p>
    <w:p>
      <w:pPr>
        <w:snapToGrid w:val="0"/>
        <w:spacing w:line="600" w:lineRule="exact"/>
        <w:ind w:firstLine="640" w:firstLineChars="200"/>
        <w:rPr>
          <w:rFonts w:ascii="方正仿宋_GBK" w:hAnsi="宋体" w:eastAsia="方正仿宋_GBK"/>
          <w:sz w:val="32"/>
          <w:szCs w:val="32"/>
        </w:rPr>
      </w:pPr>
      <w:r>
        <w:rPr>
          <w:rFonts w:hint="eastAsia" w:ascii="方正仿宋_GBK" w:hAnsi="宋体" w:eastAsia="方正仿宋_GBK" w:cs="Arial"/>
          <w:bCs/>
          <w:kern w:val="0"/>
          <w:sz w:val="32"/>
          <w:szCs w:val="32"/>
        </w:rPr>
        <w:t>（九）比选小组各成员独立对每个实质性响应文件进行评价、打分（</w:t>
      </w:r>
      <w:r>
        <w:rPr>
          <w:rFonts w:hint="eastAsia" w:ascii="方正仿宋_GBK" w:hAnsi="宋体" w:eastAsia="方正仿宋_GBK"/>
          <w:sz w:val="32"/>
          <w:szCs w:val="32"/>
        </w:rPr>
        <w:t>个别成员相对于全体成员对同一供应商同一评分项的打分偏离较大的，应对供应商的响应文件进行再次核对，确属打分有误的，应及时进行修正）。</w:t>
      </w:r>
      <w:r>
        <w:rPr>
          <w:rFonts w:hint="eastAsia" w:ascii="方正仿宋_GBK" w:hAnsi="宋体" w:eastAsia="方正仿宋_GBK" w:cs="Arial"/>
          <w:bCs/>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pPr>
        <w:widowControl/>
        <w:spacing w:line="600" w:lineRule="exact"/>
        <w:ind w:firstLine="640" w:firstLineChars="200"/>
        <w:jc w:val="left"/>
        <w:rPr>
          <w:rFonts w:ascii="方正仿宋_GBK" w:hAnsi="宋体" w:eastAsia="方正仿宋_GBK" w:cs="Arial"/>
          <w:bCs/>
          <w:kern w:val="0"/>
          <w:sz w:val="32"/>
          <w:szCs w:val="32"/>
        </w:rPr>
      </w:pPr>
      <w:bookmarkStart w:id="48" w:name="_Toc7992"/>
      <w:r>
        <w:rPr>
          <w:rFonts w:hint="eastAsia" w:ascii="方正仿宋_GBK" w:hAnsi="宋体" w:eastAsia="方正仿宋_GBK" w:cs="Arial"/>
          <w:bCs/>
          <w:kern w:val="0"/>
          <w:sz w:val="32"/>
          <w:szCs w:val="32"/>
        </w:rPr>
        <w:t>二、评审标准</w:t>
      </w:r>
      <w:bookmarkEnd w:id="48"/>
    </w:p>
    <w:tbl>
      <w:tblPr>
        <w:tblStyle w:val="5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40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478"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tc>
        <w:tc>
          <w:tcPr>
            <w:tcW w:w="762"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403" w:type="dxa"/>
            <w:vAlign w:val="center"/>
          </w:tcPr>
          <w:p>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248" w:type="dxa"/>
            <w:vAlign w:val="center"/>
          </w:tcPr>
          <w:p>
            <w:pPr>
              <w:pStyle w:val="138"/>
              <w:spacing w:before="0" w:after="0"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78"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比选报价（30%）</w:t>
            </w:r>
          </w:p>
        </w:tc>
        <w:tc>
          <w:tcPr>
            <w:tcW w:w="762"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30分</w:t>
            </w:r>
          </w:p>
        </w:tc>
        <w:tc>
          <w:tcPr>
            <w:tcW w:w="4403" w:type="dxa"/>
            <w:vAlign w:val="center"/>
          </w:tcPr>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比选</w:t>
            </w:r>
            <w:r>
              <w:rPr>
                <w:rFonts w:hint="eastAsia" w:ascii="方正仿宋_GBK" w:hAnsi="宋体" w:eastAsia="方正仿宋_GBK"/>
                <w:sz w:val="21"/>
                <w:szCs w:val="21"/>
                <w:lang w:val="en-US" w:eastAsia="zh-CN"/>
              </w:rPr>
              <w:t>报价</w:t>
            </w:r>
            <w:r>
              <w:rPr>
                <w:rFonts w:hint="eastAsia" w:ascii="方正仿宋_GBK" w:hAnsi="宋体" w:eastAsia="方正仿宋_GBK"/>
                <w:sz w:val="21"/>
                <w:szCs w:val="21"/>
              </w:rPr>
              <w:t>=（本项目限价-比选报价）/本项目限价*30，保留两位小数。</w:t>
            </w:r>
          </w:p>
        </w:tc>
        <w:tc>
          <w:tcPr>
            <w:tcW w:w="2248" w:type="dxa"/>
            <w:vAlign w:val="center"/>
          </w:tcPr>
          <w:p>
            <w:pPr>
              <w:spacing w:line="240" w:lineRule="atLeas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45"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478"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lang w:val="en-US" w:eastAsia="zh-CN"/>
              </w:rPr>
              <w:t>服务方案</w:t>
            </w:r>
            <w:r>
              <w:rPr>
                <w:rFonts w:hint="eastAsia" w:ascii="方正仿宋_GBK" w:hAnsi="宋体" w:eastAsia="方正仿宋_GBK"/>
                <w:sz w:val="21"/>
                <w:szCs w:val="21"/>
              </w:rPr>
              <w:t>（</w:t>
            </w:r>
            <w:r>
              <w:rPr>
                <w:rFonts w:hint="eastAsia" w:ascii="方正仿宋_GBK" w:hAnsi="宋体" w:eastAsia="方正仿宋_GBK"/>
                <w:sz w:val="21"/>
                <w:szCs w:val="21"/>
                <w:lang w:val="en-US" w:eastAsia="zh-CN"/>
              </w:rPr>
              <w:t>4</w:t>
            </w:r>
            <w:r>
              <w:rPr>
                <w:rFonts w:hint="eastAsia" w:ascii="方正仿宋_GBK" w:hAnsi="宋体" w:eastAsia="方正仿宋_GBK"/>
                <w:sz w:val="21"/>
                <w:szCs w:val="21"/>
              </w:rPr>
              <w:t>0%）</w:t>
            </w:r>
          </w:p>
        </w:tc>
        <w:tc>
          <w:tcPr>
            <w:tcW w:w="762"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lang w:val="en-US" w:eastAsia="zh-CN"/>
              </w:rPr>
              <w:t>4</w:t>
            </w:r>
            <w:r>
              <w:rPr>
                <w:rFonts w:hint="eastAsia" w:ascii="方正仿宋_GBK" w:hAnsi="宋体" w:eastAsia="方正仿宋_GBK"/>
                <w:sz w:val="21"/>
                <w:szCs w:val="21"/>
              </w:rPr>
              <w:t>0分</w:t>
            </w:r>
          </w:p>
        </w:tc>
        <w:tc>
          <w:tcPr>
            <w:tcW w:w="4403" w:type="dxa"/>
            <w:vAlign w:val="center"/>
          </w:tcPr>
          <w:p>
            <w:pPr>
              <w:spacing w:line="240" w:lineRule="atLeast"/>
              <w:jc w:val="left"/>
              <w:rPr>
                <w:rFonts w:hint="eastAsia" w:ascii="方正仿宋_GBK" w:hAnsi="宋体" w:eastAsia="方正仿宋_GBK"/>
                <w:sz w:val="21"/>
                <w:szCs w:val="21"/>
              </w:rPr>
            </w:pPr>
            <w:r>
              <w:rPr>
                <w:rFonts w:hint="eastAsia" w:ascii="方正仿宋_GBK" w:hAnsi="宋体" w:eastAsia="方正仿宋_GBK"/>
                <w:sz w:val="21"/>
                <w:szCs w:val="21"/>
              </w:rPr>
              <w:t>服务具体内容，得0-</w:t>
            </w:r>
            <w:r>
              <w:rPr>
                <w:rFonts w:hint="eastAsia" w:ascii="方正仿宋_GBK" w:hAnsi="宋体" w:eastAsia="方正仿宋_GBK"/>
                <w:sz w:val="21"/>
                <w:szCs w:val="21"/>
                <w:lang w:val="en-US" w:eastAsia="zh-CN"/>
              </w:rPr>
              <w:t>20</w:t>
            </w:r>
            <w:r>
              <w:rPr>
                <w:rFonts w:hint="eastAsia" w:ascii="方正仿宋_GBK" w:hAnsi="宋体" w:eastAsia="方正仿宋_GBK"/>
                <w:sz w:val="21"/>
                <w:szCs w:val="21"/>
              </w:rPr>
              <w:t>分；</w:t>
            </w:r>
          </w:p>
          <w:p>
            <w:pPr>
              <w:spacing w:line="240" w:lineRule="atLeast"/>
              <w:jc w:val="left"/>
              <w:rPr>
                <w:rFonts w:hint="eastAsia" w:ascii="方正仿宋_GBK" w:hAnsi="宋体" w:eastAsia="方正仿宋_GBK"/>
                <w:sz w:val="21"/>
                <w:szCs w:val="21"/>
              </w:rPr>
            </w:pPr>
            <w:r>
              <w:rPr>
                <w:rFonts w:hint="eastAsia" w:ascii="方正仿宋_GBK" w:hAnsi="宋体" w:eastAsia="方正仿宋_GBK"/>
                <w:sz w:val="21"/>
                <w:szCs w:val="21"/>
              </w:rPr>
              <w:t>服务团队成员，得0-10分；</w:t>
            </w:r>
          </w:p>
          <w:p>
            <w:pPr>
              <w:spacing w:line="240" w:lineRule="atLeast"/>
              <w:jc w:val="left"/>
              <w:rPr>
                <w:rFonts w:ascii="方正仿宋_GBK" w:hAnsi="宋体" w:eastAsia="方正仿宋_GBK"/>
                <w:sz w:val="21"/>
                <w:szCs w:val="21"/>
              </w:rPr>
            </w:pPr>
            <w:r>
              <w:rPr>
                <w:rFonts w:hint="eastAsia" w:ascii="方正仿宋_GBK" w:hAnsi="宋体" w:eastAsia="方正仿宋_GBK"/>
                <w:sz w:val="21"/>
                <w:szCs w:val="21"/>
              </w:rPr>
              <w:t>增值服务，得0-10分；</w:t>
            </w:r>
          </w:p>
        </w:tc>
        <w:tc>
          <w:tcPr>
            <w:tcW w:w="2248"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供应商须对本次围绕服务我司专项债发行工作提供服务方案。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3" w:hRule="atLeast"/>
        </w:trPr>
        <w:tc>
          <w:tcPr>
            <w:tcW w:w="845"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478"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w:t>
            </w:r>
            <w:r>
              <w:rPr>
                <w:rFonts w:hint="eastAsia" w:ascii="方正仿宋_GBK" w:hAnsi="宋体" w:eastAsia="方正仿宋_GBK"/>
                <w:sz w:val="21"/>
                <w:szCs w:val="21"/>
                <w:lang w:val="en-US" w:eastAsia="zh-CN"/>
              </w:rPr>
              <w:t>30</w:t>
            </w:r>
            <w:r>
              <w:rPr>
                <w:rFonts w:hint="eastAsia" w:ascii="方正仿宋_GBK" w:hAnsi="宋体" w:eastAsia="方正仿宋_GBK"/>
                <w:sz w:val="21"/>
                <w:szCs w:val="21"/>
              </w:rPr>
              <w:t>%）</w:t>
            </w:r>
          </w:p>
        </w:tc>
        <w:tc>
          <w:tcPr>
            <w:tcW w:w="762" w:type="dxa"/>
            <w:vAlign w:val="center"/>
          </w:tcPr>
          <w:p>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lang w:val="en-US" w:eastAsia="zh-CN"/>
              </w:rPr>
              <w:t>3</w:t>
            </w:r>
            <w:r>
              <w:rPr>
                <w:rFonts w:hint="eastAsia" w:ascii="方正仿宋_GBK" w:hAnsi="宋体" w:eastAsia="方正仿宋_GBK"/>
                <w:sz w:val="21"/>
                <w:szCs w:val="21"/>
              </w:rPr>
              <w:t>0分</w:t>
            </w:r>
          </w:p>
        </w:tc>
        <w:tc>
          <w:tcPr>
            <w:tcW w:w="4403"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lang w:val="en-US" w:eastAsia="zh-CN"/>
              </w:rPr>
              <w:t>1</w:t>
            </w:r>
            <w:r>
              <w:rPr>
                <w:rFonts w:hint="eastAsia" w:ascii="方正仿宋_GBK" w:hAnsi="宋体" w:eastAsia="方正仿宋_GBK"/>
                <w:sz w:val="21"/>
                <w:szCs w:val="21"/>
              </w:rPr>
              <w:t>.存贷款比例</w:t>
            </w:r>
          </w:p>
          <w:p>
            <w:pPr>
              <w:rPr>
                <w:rFonts w:hint="eastAsia" w:ascii="方正仿宋_GBK" w:hAnsi="宋体" w:eastAsia="方正仿宋_GBK"/>
                <w:sz w:val="21"/>
                <w:szCs w:val="21"/>
              </w:rPr>
            </w:pPr>
            <w:r>
              <w:rPr>
                <w:rFonts w:hint="eastAsia" w:ascii="方正仿宋_GBK" w:hAnsi="宋体" w:eastAsia="方正仿宋_GBK"/>
                <w:sz w:val="21"/>
                <w:szCs w:val="21"/>
              </w:rPr>
              <w:t>按重庆市银保监局统计的2019年存贷款比例由大到小排名。第一名得10分，其余比选银行得分按其存贷款比例与第一名存贷款比例的比率乘以分值计算得分，保留两位小数。</w:t>
            </w:r>
          </w:p>
          <w:p>
            <w:pPr>
              <w:rPr>
                <w:rFonts w:hint="eastAsia" w:ascii="方正仿宋_GBK" w:hAnsi="宋体" w:eastAsia="方正仿宋_GBK"/>
                <w:sz w:val="21"/>
                <w:szCs w:val="21"/>
              </w:rPr>
            </w:pPr>
            <w:r>
              <w:rPr>
                <w:rFonts w:hint="eastAsia" w:ascii="方正仿宋_GBK" w:hAnsi="宋体" w:eastAsia="方正仿宋_GBK"/>
                <w:sz w:val="21"/>
                <w:szCs w:val="21"/>
                <w:lang w:val="en-US" w:eastAsia="zh-CN"/>
              </w:rPr>
              <w:t>2</w:t>
            </w:r>
            <w:r>
              <w:rPr>
                <w:rFonts w:hint="eastAsia" w:ascii="方正仿宋_GBK" w:hAnsi="宋体" w:eastAsia="方正仿宋_GBK"/>
                <w:sz w:val="21"/>
                <w:szCs w:val="21"/>
              </w:rPr>
              <w:t>.2020年承销重庆市地方债规模</w:t>
            </w:r>
          </w:p>
          <w:p>
            <w:pPr>
              <w:rPr>
                <w:rFonts w:hint="eastAsia" w:ascii="方正仿宋_GBK" w:hAnsi="宋体" w:eastAsia="方正仿宋_GBK"/>
                <w:sz w:val="21"/>
                <w:szCs w:val="21"/>
              </w:rPr>
            </w:pPr>
            <w:r>
              <w:rPr>
                <w:rFonts w:hint="eastAsia" w:ascii="方正仿宋_GBK" w:hAnsi="宋体" w:eastAsia="方正仿宋_GBK"/>
                <w:sz w:val="21"/>
                <w:szCs w:val="21"/>
              </w:rPr>
              <w:t>按重庆市财政局统计口径，2020年1-5月承销重庆市地方债规模由大到小排名。第一名得10分，其余比选银行得分按其规模与第一名规模比率乘以分值计算得分，保留两位小数。</w:t>
            </w:r>
          </w:p>
          <w:p>
            <w:pPr>
              <w:rPr>
                <w:rFonts w:hint="eastAsia" w:ascii="方正仿宋_GBK" w:hAnsi="宋体" w:eastAsia="方正仿宋_GBK"/>
                <w:sz w:val="21"/>
                <w:szCs w:val="21"/>
              </w:rPr>
            </w:pPr>
            <w:r>
              <w:rPr>
                <w:rFonts w:hint="eastAsia" w:ascii="方正仿宋_GBK" w:hAnsi="宋体" w:eastAsia="方正仿宋_GBK"/>
                <w:sz w:val="21"/>
                <w:szCs w:val="21"/>
                <w:lang w:val="en-US" w:eastAsia="zh-CN"/>
              </w:rPr>
              <w:t>3</w:t>
            </w:r>
            <w:r>
              <w:rPr>
                <w:rFonts w:hint="eastAsia" w:ascii="方正仿宋_GBK" w:hAnsi="宋体" w:eastAsia="方正仿宋_GBK"/>
                <w:sz w:val="21"/>
                <w:szCs w:val="21"/>
              </w:rPr>
              <w:t>.辅导重庆市专项债项目合计金额</w:t>
            </w:r>
          </w:p>
          <w:p>
            <w:pPr>
              <w:rPr>
                <w:rFonts w:ascii="方正仿宋_GBK" w:hAnsi="宋体" w:eastAsia="方正仿宋_GBK"/>
                <w:sz w:val="21"/>
                <w:szCs w:val="21"/>
              </w:rPr>
            </w:pPr>
            <w:r>
              <w:rPr>
                <w:rFonts w:hint="eastAsia" w:ascii="方正仿宋_GBK" w:hAnsi="宋体" w:eastAsia="方正仿宋_GBK"/>
                <w:sz w:val="21"/>
                <w:szCs w:val="21"/>
              </w:rPr>
              <w:t>从2019年9月起，所辅导发债成功的重庆市专项债（不包含土储、棚改专项债）项目，每个项目的合计金额由大到小排名。此处辅导是指联合会计师事务所、律师事务所为业主单位提供专项债（不包含土储、棚改专项债）发债项目咨询并编制发债资料，最终发债成功的项目。项目信息以在中国债券信息网（网址：www.chinabond.com.cn）披露的为准，须附每个项目相关佐证材料（如辅导合同或会计师事务所、律师事务所证明文件或业务单位证明文件等）。第一名得10分，其余比选银行得分按其合计金额与第一名合计金额比率乘以分值计算得分，保留两位小数。</w:t>
            </w:r>
          </w:p>
        </w:tc>
        <w:tc>
          <w:tcPr>
            <w:tcW w:w="2248" w:type="dxa"/>
            <w:vAlign w:val="center"/>
          </w:tcPr>
          <w:p>
            <w:pPr>
              <w:spacing w:line="240" w:lineRule="atLeast"/>
              <w:rPr>
                <w:rFonts w:ascii="方正仿宋_GBK" w:hAnsi="宋体" w:eastAsia="方正仿宋_GBK"/>
                <w:sz w:val="21"/>
                <w:szCs w:val="21"/>
              </w:rPr>
            </w:pPr>
            <w:r>
              <w:rPr>
                <w:rFonts w:hint="eastAsia" w:ascii="方正仿宋_GBK" w:hAnsi="宋体" w:eastAsia="方正仿宋_GBK"/>
                <w:sz w:val="21"/>
                <w:szCs w:val="21"/>
              </w:rPr>
              <w:t>供应商须按第六篇格式文件填报，并附上证明材料。</w:t>
            </w:r>
          </w:p>
        </w:tc>
      </w:tr>
    </w:tbl>
    <w:p>
      <w:pPr>
        <w:widowControl/>
        <w:spacing w:line="600" w:lineRule="exact"/>
        <w:ind w:firstLine="640" w:firstLineChars="200"/>
        <w:jc w:val="left"/>
        <w:rPr>
          <w:rFonts w:ascii="方正仿宋_GBK" w:hAnsi="宋体" w:eastAsia="方正仿宋_GBK" w:cs="Arial"/>
          <w:bCs/>
          <w:kern w:val="0"/>
          <w:sz w:val="32"/>
          <w:szCs w:val="32"/>
        </w:rPr>
      </w:pPr>
      <w:bookmarkStart w:id="49" w:name="_Toc24153"/>
      <w:r>
        <w:rPr>
          <w:rFonts w:hint="eastAsia" w:ascii="方正仿宋_GBK" w:hAnsi="宋体" w:eastAsia="方正仿宋_GBK" w:cs="Arial"/>
          <w:bCs/>
          <w:kern w:val="0"/>
          <w:sz w:val="32"/>
          <w:szCs w:val="32"/>
        </w:rPr>
        <w:t>三、无效响应</w:t>
      </w:r>
      <w:bookmarkEnd w:id="49"/>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供应商发生以下条款情况之一者，视为无效响应，其响应文件将被拒绝：</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（一）供应商不符合规定的基本资格条件或特定资格条件的；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（二）供应商的</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或其授权代表未参加比选；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（三）供应商未按照比选文件的要求缴纳比选保证金</w:t>
      </w:r>
      <w:r>
        <w:rPr>
          <w:rFonts w:hint="eastAsia" w:ascii="方正仿宋_GBK" w:hAnsi="宋体" w:eastAsia="方正仿宋_GBK" w:cs="Arial"/>
          <w:bCs/>
          <w:kern w:val="0"/>
          <w:sz w:val="32"/>
          <w:szCs w:val="32"/>
          <w:lang w:eastAsia="zh-CN"/>
        </w:rPr>
        <w:t>（</w:t>
      </w:r>
      <w:r>
        <w:rPr>
          <w:rFonts w:hint="eastAsia" w:ascii="方正仿宋_GBK" w:hAnsi="宋体" w:eastAsia="方正仿宋_GBK" w:cs="Arial"/>
          <w:bCs/>
          <w:kern w:val="0"/>
          <w:sz w:val="32"/>
          <w:szCs w:val="32"/>
          <w:lang w:val="en-US" w:eastAsia="zh-CN"/>
        </w:rPr>
        <w:t>如果有</w:t>
      </w:r>
      <w:r>
        <w:rPr>
          <w:rFonts w:hint="eastAsia" w:ascii="方正仿宋_GBK" w:hAnsi="宋体" w:eastAsia="方正仿宋_GBK" w:cs="Arial"/>
          <w:bCs/>
          <w:kern w:val="0"/>
          <w:sz w:val="32"/>
          <w:szCs w:val="32"/>
          <w:lang w:eastAsia="zh-CN"/>
        </w:rPr>
        <w:t>）</w:t>
      </w:r>
      <w:r>
        <w:rPr>
          <w:rFonts w:hint="eastAsia" w:ascii="方正仿宋_GBK" w:hAnsi="宋体" w:eastAsia="方正仿宋_GBK" w:cs="Arial"/>
          <w:bCs/>
          <w:kern w:val="0"/>
          <w:sz w:val="32"/>
          <w:szCs w:val="32"/>
        </w:rPr>
        <w:t>；</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（四）供应商所提交的响应文件不按第六篇“响应文件编制要求”规定密封、签字、盖章；</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（五）供应商的报价超过限价的；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（六）响应文件含有采购人不能接受的附加条件的；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（七）</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为同一个人的两个及两个以上法人，母公司、全资子公司及其控股公司，在同一分包采购中同时参与比选；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（八）单位负责人为同一人或者存在直接控股、管理关系的不同供应商，参加同一合同项下的采购活动的；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（九）供应商响应文件内容有与国家现行法律法规相违背的内容。</w:t>
      </w:r>
    </w:p>
    <w:p>
      <w:pPr>
        <w:widowControl/>
        <w:spacing w:line="600" w:lineRule="exact"/>
        <w:ind w:firstLine="640" w:firstLineChars="200"/>
        <w:jc w:val="left"/>
        <w:rPr>
          <w:rFonts w:ascii="方正仿宋_GBK" w:hAnsi="宋体" w:eastAsia="方正仿宋_GBK" w:cs="Arial"/>
          <w:bCs/>
          <w:kern w:val="0"/>
          <w:sz w:val="32"/>
          <w:szCs w:val="32"/>
        </w:rPr>
      </w:pPr>
      <w:bookmarkStart w:id="50" w:name="_Toc7031"/>
      <w:r>
        <w:rPr>
          <w:rFonts w:hint="eastAsia" w:ascii="方正仿宋_GBK" w:hAnsi="宋体" w:eastAsia="方正仿宋_GBK" w:cs="Arial"/>
          <w:bCs/>
          <w:kern w:val="0"/>
          <w:sz w:val="32"/>
          <w:szCs w:val="32"/>
        </w:rPr>
        <w:t>四、采购终止</w:t>
      </w:r>
      <w:bookmarkEnd w:id="50"/>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出现下列情形之一的，采购人或者采购代理机构应当终止比选采购活动，发布项目终止公告并说明原因，重新开展采购活动：</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（一）因情况变化，不再符合规定的比选采购方式适用情形的；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（二）出现影响采购公正的违法、违规行为的；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（三）在采购过程中符合要求的供应商或者报价未超过采购限价的供应商不足3家的。</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pStyle w:val="3"/>
        <w:keepNext w:val="0"/>
        <w:keepLines w:val="0"/>
        <w:spacing w:line="360" w:lineRule="auto"/>
        <w:jc w:val="center"/>
        <w:rPr>
          <w:rFonts w:ascii="方正小标宋_GBK" w:hAnsi="宋体" w:eastAsia="方正小标宋_GBK"/>
          <w:b w:val="0"/>
          <w:sz w:val="44"/>
          <w:szCs w:val="44"/>
        </w:rPr>
      </w:pPr>
      <w:bookmarkStart w:id="51" w:name="_Toc12490"/>
      <w:r>
        <w:rPr>
          <w:rFonts w:hint="eastAsia" w:ascii="方正小标宋_GBK" w:hAnsi="宋体" w:eastAsia="方正小标宋_GBK"/>
          <w:b w:val="0"/>
          <w:sz w:val="44"/>
          <w:szCs w:val="44"/>
        </w:rPr>
        <w:t>第五篇  供应商须知</w:t>
      </w:r>
      <w:bookmarkEnd w:id="51"/>
    </w:p>
    <w:p>
      <w:pPr>
        <w:widowControl/>
        <w:spacing w:line="600" w:lineRule="exact"/>
        <w:ind w:firstLine="640" w:firstLineChars="200"/>
        <w:jc w:val="left"/>
        <w:rPr>
          <w:rFonts w:ascii="方正仿宋_GBK" w:hAnsi="宋体" w:eastAsia="方正仿宋_GBK" w:cs="Arial"/>
          <w:bCs/>
          <w:kern w:val="0"/>
          <w:sz w:val="32"/>
          <w:szCs w:val="32"/>
        </w:rPr>
      </w:pPr>
      <w:bookmarkStart w:id="52" w:name="_Toc5692"/>
      <w:r>
        <w:rPr>
          <w:rFonts w:hint="eastAsia" w:ascii="方正仿宋_GBK" w:hAnsi="宋体" w:eastAsia="方正仿宋_GBK" w:cs="Arial"/>
          <w:bCs/>
          <w:kern w:val="0"/>
          <w:sz w:val="32"/>
          <w:szCs w:val="32"/>
        </w:rPr>
        <w:t>一、比选费用</w:t>
      </w:r>
      <w:bookmarkEnd w:id="52"/>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参与比选的供应商应承担其编制响应文件与递交响应文件所涉及的一切费用，不论比选结果如何，采购人在任何情况下无义务也无责任承担这些费用。</w:t>
      </w:r>
    </w:p>
    <w:p>
      <w:pPr>
        <w:widowControl/>
        <w:spacing w:line="600" w:lineRule="exact"/>
        <w:ind w:firstLine="640" w:firstLineChars="200"/>
        <w:jc w:val="left"/>
        <w:rPr>
          <w:rFonts w:ascii="方正仿宋_GBK" w:hAnsi="宋体" w:eastAsia="方正仿宋_GBK" w:cs="Arial"/>
          <w:bCs/>
          <w:kern w:val="0"/>
          <w:sz w:val="32"/>
          <w:szCs w:val="32"/>
        </w:rPr>
      </w:pPr>
      <w:bookmarkStart w:id="53" w:name="_Toc4947"/>
      <w:r>
        <w:rPr>
          <w:rFonts w:hint="eastAsia" w:ascii="方正仿宋_GBK" w:hAnsi="宋体" w:eastAsia="方正仿宋_GBK" w:cs="Arial"/>
          <w:bCs/>
          <w:kern w:val="0"/>
          <w:sz w:val="32"/>
          <w:szCs w:val="32"/>
        </w:rPr>
        <w:t>二、比选文件</w:t>
      </w:r>
      <w:bookmarkEnd w:id="53"/>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（一）比选文件由采购邀请书、项目情况需求、项目商务需求、比选程序及方法、供应商须知、响应文件编制要求六部分组成。</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（二）采购人所作的一切有效的书面通知、修改及补充，都是比选文件不可分割的部分。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（三）评审的依据为比选文件和响应文件（含有效的书面承诺）。比选小组判断响应文件对比选文件的响应，仅基于响应文件本身而不靠外部证据。</w:t>
      </w:r>
    </w:p>
    <w:p>
      <w:pPr>
        <w:widowControl/>
        <w:spacing w:line="600" w:lineRule="exact"/>
        <w:ind w:firstLine="640" w:firstLineChars="200"/>
        <w:jc w:val="left"/>
        <w:rPr>
          <w:rFonts w:ascii="方正仿宋_GBK" w:hAnsi="宋体" w:eastAsia="方正仿宋_GBK" w:cs="Arial"/>
          <w:bCs/>
          <w:kern w:val="0"/>
          <w:sz w:val="32"/>
          <w:szCs w:val="32"/>
        </w:rPr>
      </w:pPr>
      <w:bookmarkStart w:id="54" w:name="_Toc31416"/>
      <w:r>
        <w:rPr>
          <w:rFonts w:hint="eastAsia" w:ascii="方正仿宋_GBK" w:hAnsi="宋体" w:eastAsia="方正仿宋_GBK" w:cs="Arial"/>
          <w:bCs/>
          <w:kern w:val="0"/>
          <w:sz w:val="32"/>
          <w:szCs w:val="32"/>
        </w:rPr>
        <w:t>三、比选要求</w:t>
      </w:r>
      <w:bookmarkEnd w:id="54"/>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（一）响应文件</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1、供应商应当按照比选文件的要求编制响应文件，并对比选文件提出的要求和条件作出实质性响应，响应文件原则上采用软面订本，并编制完整的页码、目录。</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2、响应文件组成</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（二）本项目不允许联合体参加比选。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（三）比选有效期：响应文件及有关承诺文件有效期为提交响应文件截止时间起90天。</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（四）比选保证金（如果有）：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供应商提交保证金金额和方式详见第一篇的“保证金缴纳及退还”。</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（五）修正错误</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1、若供应商所递交的响应文件报价中的价格出现大写金额和小写金额不一致的错误，以大写金额为准。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（六）提交响应文件的份数和签署</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1、响应文件一式三份，其中正本一份，副本二份，副本可为正本的复印件，应与正本一致，如出现不一致情况以正本为准。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2、在响应文件正本中，比选文件第六篇响应文件编制要求中规定签字、盖章的地方必须按其规定签字、盖章。</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（七）响应文件的递交</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1、响应文件的密封与标记</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响应文件的正本、副本应密封送达比选地点，应在封套上注明项目名称、供应商名称，还应在封套上注明 “不准提前启封”字样。封套的封口处应加盖供应商公章或由</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授权代表签字。未按上述要求密封、标记的响应文件将拒收。</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（八）供应商参与人员</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各个供应商应当派1-2名代表参与比选，至少1人应为</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或具有</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授权委托书的授权代表。</w:t>
      </w:r>
    </w:p>
    <w:p>
      <w:pPr>
        <w:widowControl/>
        <w:spacing w:line="600" w:lineRule="exact"/>
        <w:ind w:firstLine="640" w:firstLineChars="200"/>
        <w:jc w:val="left"/>
        <w:rPr>
          <w:rFonts w:ascii="方正仿宋_GBK" w:hAnsi="宋体" w:eastAsia="方正仿宋_GBK" w:cs="Arial"/>
          <w:bCs/>
          <w:kern w:val="0"/>
          <w:sz w:val="32"/>
          <w:szCs w:val="32"/>
        </w:rPr>
      </w:pPr>
      <w:bookmarkStart w:id="55" w:name="_Toc13245"/>
      <w:r>
        <w:rPr>
          <w:rFonts w:hint="eastAsia" w:ascii="方正仿宋_GBK" w:hAnsi="宋体" w:eastAsia="方正仿宋_GBK" w:cs="Arial"/>
          <w:bCs/>
          <w:kern w:val="0"/>
          <w:sz w:val="32"/>
          <w:szCs w:val="32"/>
        </w:rPr>
        <w:t>四、成交供应商的确认和变更</w:t>
      </w:r>
      <w:bookmarkEnd w:id="55"/>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（一）成交供应商的确认</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比选小组按照评分排序由高到低的原则确定拟成交供应商。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（二）成交供应商的变更</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1、成交供应商因不可抗力或者自身原因不能履行合同的，采购人可以确定排名其后一位报价不超过前一名报价5%且报价在采购预算之内的成交候选人。</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2、成交供应商无充分理由放弃成交的，采购人将不退还比选保证金，并将其加入公司采购黑名单。</w:t>
      </w:r>
    </w:p>
    <w:p>
      <w:pPr>
        <w:widowControl/>
        <w:spacing w:line="600" w:lineRule="exact"/>
        <w:ind w:firstLine="627" w:firstLineChars="196"/>
        <w:jc w:val="left"/>
        <w:rPr>
          <w:rFonts w:ascii="方正仿宋_GBK" w:hAnsi="宋体" w:eastAsia="方正仿宋_GBK" w:cs="Arial"/>
          <w:bCs/>
          <w:kern w:val="0"/>
          <w:sz w:val="32"/>
          <w:szCs w:val="32"/>
        </w:rPr>
      </w:pPr>
      <w:bookmarkStart w:id="56" w:name="_Toc22911"/>
      <w:bookmarkStart w:id="57" w:name="_Toc342913395"/>
      <w:bookmarkStart w:id="58" w:name="_Toc102227321"/>
      <w:r>
        <w:rPr>
          <w:rFonts w:hint="eastAsia" w:ascii="方正仿宋_GBK" w:hAnsi="宋体" w:eastAsia="方正仿宋_GBK" w:cs="Arial"/>
          <w:bCs/>
          <w:kern w:val="0"/>
          <w:sz w:val="32"/>
          <w:szCs w:val="32"/>
        </w:rPr>
        <w:t>五、</w:t>
      </w:r>
      <w:bookmarkEnd w:id="56"/>
      <w:bookmarkEnd w:id="57"/>
      <w:bookmarkEnd w:id="58"/>
      <w:bookmarkStart w:id="59" w:name="_Toc23158"/>
      <w:r>
        <w:rPr>
          <w:rFonts w:hint="eastAsia" w:ascii="方正仿宋_GBK" w:hAnsi="宋体" w:eastAsia="方正仿宋_GBK" w:cs="Arial"/>
          <w:bCs/>
          <w:kern w:val="0"/>
          <w:sz w:val="32"/>
          <w:szCs w:val="32"/>
        </w:rPr>
        <w:t>成交公示和发出</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1、采购人依法确定拟成交人后，在重庆机场集团有限公司官方网站公示3个日历天。</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2、公示截止期内无质疑和投诉，将以书面形式发出成交通知书。《成交通知书》一经发出即发生法律效力。</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3、《成交通知书》将作为签订合同的依据。</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六、关于质疑和投诉</w:t>
      </w:r>
      <w:bookmarkEnd w:id="59"/>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（一）质疑内容、时限</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供应商对比选文件中供应商特定资格条件、技术质量和商务要求、评审标准及评审细则有异议的，可向采购人书面提出质疑。</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（二）质疑答复</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采购人收到供应商书面质疑后一个工作日内，对质疑内容作出答复。</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（三）不予受理或暂缓受理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1、质疑有下列情形之一的，不予受理：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1.1质疑供应商参加了比选活动后，再对比选文件内容提出质疑的；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1.2质疑超过有效期的；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1.3对同一事项重复质疑的。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2、质疑有下列情形之一的，应暂不受理并告知供应商补充材料。供应商及时补充材料的，应予受理；逾期未补充的，不予受理：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2.1质疑书格式和内容不符合国家或重庆市相关规定的；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2.2质疑书提供的依据或证明材料不全的；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2.3质疑书副本数量不足的。</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（四）投诉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1、供应商对采购人答复不满意，或者采购人未在规定时间内答复的，可在答复期满后十五个工作日内按有关规定，向上级主管部门投诉。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2、在提出投诉时，应附送相关证明材料。</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3、在确定受理投诉后，上级部门自受理投诉之日起三十个工作日内（</w:t>
      </w:r>
      <w:r>
        <w:rPr>
          <w:rFonts w:ascii="方正仿宋_GBK" w:hAnsi="宋体" w:eastAsia="方正仿宋_GBK" w:cs="Arial"/>
          <w:bCs/>
          <w:kern w:val="0"/>
          <w:sz w:val="32"/>
          <w:szCs w:val="32"/>
        </w:rPr>
        <w:t>进行调查取证或者组织质证</w:t>
      </w:r>
      <w:r>
        <w:rPr>
          <w:rFonts w:hint="eastAsia" w:ascii="方正仿宋_GBK" w:hAnsi="宋体" w:eastAsia="方正仿宋_GBK" w:cs="Arial"/>
          <w:bCs/>
          <w:kern w:val="0"/>
          <w:sz w:val="32"/>
          <w:szCs w:val="32"/>
        </w:rPr>
        <w:t>时间除外）对投诉事项做出处理决定，并将投诉处理决定书送达投诉人、被投诉人和其他与投诉处理决定有利害关系的采购相关当事人。</w:t>
      </w:r>
    </w:p>
    <w:p>
      <w:pPr>
        <w:widowControl/>
        <w:spacing w:line="600" w:lineRule="exact"/>
        <w:ind w:firstLine="640" w:firstLineChars="200"/>
        <w:jc w:val="left"/>
        <w:rPr>
          <w:rFonts w:ascii="方正仿宋_GBK" w:hAnsi="宋体" w:eastAsia="方正仿宋_GBK" w:cs="Arial"/>
          <w:bCs/>
          <w:kern w:val="0"/>
          <w:sz w:val="32"/>
          <w:szCs w:val="32"/>
        </w:rPr>
      </w:pPr>
      <w:bookmarkStart w:id="60" w:name="_Toc4813"/>
      <w:r>
        <w:rPr>
          <w:rFonts w:hint="eastAsia" w:ascii="方正仿宋_GBK" w:hAnsi="宋体" w:eastAsia="方正仿宋_GBK" w:cs="Arial"/>
          <w:bCs/>
          <w:kern w:val="0"/>
          <w:sz w:val="32"/>
          <w:szCs w:val="32"/>
        </w:rPr>
        <w:t>七、签订合同</w:t>
      </w:r>
      <w:bookmarkEnd w:id="60"/>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（一）成交供应商应当自收到成交通知书之日起十日内，按照比选文件和成交供应商响应文件与采购人签订书面合同。所签订的合同不得对比选文件和供应商的响应文件作实质性修改。</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（二）比选文件、供应商的响应文件及澄清文件等，均为签订采购合同的依据。</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（三）合同生效条款由双方约定，法律、行政法规规定应当办理批准、登记等手续后生效的合同，依照其规定。</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（四）采购人要求成交供应商提供履约保证金的，应当在比选文件中予以约定。成交供应商履约完毕后，采购人应按比选文件及合同的约定无息退还其履约保证金。</w:t>
      </w:r>
    </w:p>
    <w:p>
      <w:pPr>
        <w:widowControl/>
        <w:spacing w:line="600" w:lineRule="exact"/>
        <w:ind w:firstLine="640" w:firstLineChars="200"/>
        <w:jc w:val="center"/>
        <w:rPr>
          <w:rFonts w:ascii="方正小标宋_GBK" w:hAnsi="宋体" w:eastAsia="方正小标宋_GBK"/>
          <w:b/>
          <w:sz w:val="44"/>
          <w:szCs w:val="44"/>
        </w:rPr>
      </w:pPr>
      <w:r>
        <w:rPr>
          <w:rFonts w:ascii="方正仿宋_GBK" w:hAnsi="宋体" w:eastAsia="方正仿宋_GBK" w:cs="Arial"/>
          <w:bCs/>
          <w:kern w:val="0"/>
          <w:sz w:val="32"/>
          <w:szCs w:val="32"/>
        </w:rPr>
        <w:br w:type="page"/>
      </w:r>
      <w:bookmarkStart w:id="61" w:name="_Toc17049"/>
      <w:r>
        <w:rPr>
          <w:rFonts w:hint="eastAsia" w:ascii="方正小标宋_GBK" w:hAnsi="宋体" w:eastAsia="方正小标宋_GBK"/>
          <w:b/>
          <w:sz w:val="44"/>
          <w:szCs w:val="44"/>
        </w:rPr>
        <w:t>第六篇  响应文件编制要求</w:t>
      </w:r>
      <w:bookmarkEnd w:id="61"/>
    </w:p>
    <w:p>
      <w:pPr>
        <w:widowControl/>
        <w:spacing w:line="600" w:lineRule="exact"/>
        <w:ind w:firstLine="643" w:firstLineChars="200"/>
        <w:jc w:val="left"/>
        <w:rPr>
          <w:rFonts w:ascii="方正仿宋_GBK" w:hAnsi="宋体" w:eastAsia="方正仿宋_GBK" w:cs="Arial"/>
          <w:b/>
          <w:bCs/>
          <w:kern w:val="0"/>
          <w:sz w:val="32"/>
          <w:szCs w:val="32"/>
        </w:rPr>
      </w:pPr>
      <w:r>
        <w:rPr>
          <w:rFonts w:hint="eastAsia" w:ascii="方正仿宋_GBK" w:hAnsi="宋体" w:eastAsia="方正仿宋_GBK" w:cs="Arial"/>
          <w:b/>
          <w:bCs/>
          <w:kern w:val="0"/>
          <w:sz w:val="32"/>
          <w:szCs w:val="32"/>
        </w:rPr>
        <w:t>一、经济部分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（一）比选报价函（格式）</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（二）营业执照副本（复印件）</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身份证明书（格式）</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授权委托书（格式）</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（五）被授权人社会保险金证明材料</w:t>
      </w:r>
    </w:p>
    <w:p>
      <w:pPr>
        <w:widowControl/>
        <w:spacing w:line="600" w:lineRule="exact"/>
        <w:ind w:firstLine="643" w:firstLineChars="200"/>
        <w:jc w:val="left"/>
        <w:rPr>
          <w:rFonts w:hint="default" w:ascii="方正仿宋_GBK" w:hAnsi="宋体" w:eastAsia="方正仿宋_GBK" w:cs="Arial"/>
          <w:b/>
          <w:bCs/>
          <w:kern w:val="0"/>
          <w:sz w:val="32"/>
          <w:szCs w:val="32"/>
          <w:lang w:val="en-US" w:eastAsia="zh-CN"/>
        </w:rPr>
      </w:pPr>
      <w:r>
        <w:rPr>
          <w:rFonts w:hint="eastAsia" w:ascii="方正仿宋_GBK" w:hAnsi="宋体" w:eastAsia="方正仿宋_GBK" w:cs="Arial"/>
          <w:b/>
          <w:bCs/>
          <w:kern w:val="0"/>
          <w:sz w:val="32"/>
          <w:szCs w:val="32"/>
        </w:rPr>
        <w:t>二、</w:t>
      </w:r>
      <w:r>
        <w:rPr>
          <w:rFonts w:hint="eastAsia" w:ascii="方正仿宋_GBK" w:hAnsi="宋体" w:eastAsia="方正仿宋_GBK" w:cs="Arial"/>
          <w:b/>
          <w:bCs/>
          <w:kern w:val="0"/>
          <w:sz w:val="32"/>
          <w:szCs w:val="32"/>
          <w:lang w:val="en-US" w:eastAsia="zh-CN"/>
        </w:rPr>
        <w:t>服务方案</w:t>
      </w:r>
    </w:p>
    <w:p>
      <w:pPr>
        <w:widowControl/>
        <w:spacing w:line="600" w:lineRule="exact"/>
        <w:ind w:firstLine="630" w:firstLineChars="196"/>
        <w:jc w:val="left"/>
        <w:rPr>
          <w:rFonts w:hint="eastAsia" w:ascii="方正仿宋_GBK" w:hAnsi="宋体" w:eastAsia="方正仿宋_GBK" w:cs="Arial"/>
          <w:b/>
          <w:bCs/>
          <w:kern w:val="0"/>
          <w:sz w:val="32"/>
          <w:szCs w:val="32"/>
        </w:rPr>
      </w:pPr>
      <w:r>
        <w:rPr>
          <w:rFonts w:hint="eastAsia" w:ascii="方正仿宋_GBK" w:hAnsi="宋体" w:eastAsia="方正仿宋_GBK" w:cs="Arial"/>
          <w:b/>
          <w:bCs/>
          <w:kern w:val="0"/>
          <w:sz w:val="32"/>
          <w:szCs w:val="32"/>
        </w:rPr>
        <w:t>三、商务部分</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（一）存贷款比例情况（格式）</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（二）2020年承销重庆市地方债规模情况（格式）</w:t>
      </w:r>
    </w:p>
    <w:p>
      <w:pPr>
        <w:widowControl/>
        <w:spacing w:line="600" w:lineRule="exact"/>
        <w:ind w:firstLine="640" w:firstLineChars="2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（三）辅导重庆市专项债项目金额情况（格式）</w:t>
      </w:r>
    </w:p>
    <w:p>
      <w:pPr>
        <w:widowControl/>
        <w:spacing w:line="600" w:lineRule="exact"/>
        <w:ind w:firstLine="640" w:firstLineChars="2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并附上相关证明材料</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spacing w:line="520" w:lineRule="exact"/>
        <w:ind w:firstLine="643" w:firstLineChars="200"/>
        <w:rPr>
          <w:rFonts w:hint="eastAsia" w:ascii="方正仿宋_GBK" w:hAnsi="仿宋" w:eastAsia="方正仿宋_GBK"/>
          <w:b/>
          <w:sz w:val="32"/>
          <w:szCs w:val="32"/>
        </w:rPr>
      </w:pPr>
      <w:r>
        <w:rPr>
          <w:rFonts w:hint="eastAsia" w:ascii="方正仿宋_GBK" w:hAnsi="仿宋" w:eastAsia="方正仿宋_GBK"/>
          <w:b/>
          <w:sz w:val="32"/>
          <w:szCs w:val="32"/>
        </w:rPr>
        <w:t>以上资料装订成册后密封，每页加盖公章。密封袋封面需有供应商名称、</w:t>
      </w:r>
      <w:r>
        <w:rPr>
          <w:rFonts w:hint="eastAsia" w:ascii="方正仿宋_GBK" w:hAnsi="仿宋" w:eastAsia="方正仿宋_GBK"/>
          <w:b/>
          <w:sz w:val="32"/>
          <w:szCs w:val="32"/>
          <w:lang w:eastAsia="zh-CN"/>
        </w:rPr>
        <w:t>法定代表人或负责人</w:t>
      </w:r>
      <w:r>
        <w:rPr>
          <w:rFonts w:hint="eastAsia" w:ascii="方正仿宋_GBK" w:hAnsi="仿宋" w:eastAsia="方正仿宋_GBK"/>
          <w:b/>
          <w:sz w:val="32"/>
          <w:szCs w:val="32"/>
        </w:rPr>
        <w:t>或授权代表姓名及联系方式，密封袋封口处须加盖供应商公章，授权代表需带上本人身份证原件。授权代表无法证明身份的、不按规定制作装订、密封响应文件的，为无效响应。</w:t>
      </w:r>
    </w:p>
    <w:p>
      <w:pPr>
        <w:spacing w:line="520" w:lineRule="exact"/>
        <w:ind w:firstLine="643" w:firstLineChars="200"/>
        <w:rPr>
          <w:rFonts w:hint="eastAsia" w:ascii="方正仿宋_GBK" w:hAnsi="仿宋" w:eastAsia="方正仿宋_GBK"/>
          <w:b/>
          <w:sz w:val="32"/>
          <w:szCs w:val="32"/>
        </w:rPr>
      </w:pPr>
    </w:p>
    <w:p>
      <w:pPr>
        <w:spacing w:line="520" w:lineRule="exact"/>
        <w:ind w:firstLine="643" w:firstLineChars="200"/>
        <w:rPr>
          <w:rFonts w:hint="eastAsia" w:ascii="方正仿宋_GBK" w:hAnsi="仿宋" w:eastAsia="方正仿宋_GBK"/>
          <w:b/>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（一）比选报价函</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（采购人名称）：</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我方收到____________________________（项目名称）的比选文件，经详细研究，决定参加该项目的比选。</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1、愿意按照比选文件中的一切要求，提供本项目的专项债发行服务，报价为人民币大写：</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元整；人民币小写：</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元。</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2、我方现提交的响应文件为：响应文件正本</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份，副本</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份。</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3、我方承诺：本次比选的有效期为90天。</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4、我方完全理解和接受贵方比选文件的一切规定和要求及评审办法。</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5、在整个比选过程中，我方若有违规行为，接受按照相关法律法规及其实施条例等规定给予惩罚。</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6、我方若成为成交供应商，将按照最终比选结果签订合同，并且严格履行合同义务。本报价函将成为合同不可分割的一部分，与合同具有同等的法律效力。</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7、我方理解，最低报价不是成交的唯一条件。</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8、我方同意按比选文件规定，缴纳比选文件要求的比选保证金。如果我方成为成交供应商，同意比选保证金自动转为履约保证金。</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9、我方未</w:t>
      </w:r>
      <w:r>
        <w:rPr>
          <w:rFonts w:ascii="方正仿宋_GBK" w:hAnsi="宋体" w:eastAsia="方正仿宋_GBK" w:cs="Arial"/>
          <w:bCs/>
          <w:kern w:val="0"/>
          <w:sz w:val="32"/>
          <w:szCs w:val="32"/>
        </w:rPr>
        <w:t>为采购项目提供整体设计、规范编制或者项目管理、监理、检测等服务。</w:t>
      </w:r>
    </w:p>
    <w:p>
      <w:pPr>
        <w:widowControl/>
        <w:spacing w:line="600" w:lineRule="exact"/>
        <w:ind w:firstLine="4800" w:firstLineChars="15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供应商（公章）：</w:t>
      </w:r>
    </w:p>
    <w:p>
      <w:pPr>
        <w:widowControl/>
        <w:spacing w:line="600" w:lineRule="exact"/>
        <w:ind w:firstLine="3200" w:firstLineChars="10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或被授权人签字：</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年   月   日</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（三）</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身份证明书（格式）</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项目名称：</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 xml:space="preserve">                         </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姓名）在</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（供应商名称）任</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（职务名称）职务，是（供应商名称）</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的</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特此证明。</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（供应商公章）</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年   月   日</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（附：</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身份证正反面复印件）</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（四）</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授权委托书（格式）</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项目名称：</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 xml:space="preserve">                    </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（采购人名称）：</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（供应商</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名称）是</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 xml:space="preserve">   （供应商名称）的</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，特授权</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（被授权人姓名及身份证代码）代表我单位全权办理上述项目的比选、签约等具体工作，并签署全部有关文件、协议及合同。</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我单位对被授权人的签字负全部责任。</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在撤消授权的书面通知以前，本授权书一直有效。被授权人在授权书有效期内签署的所有文件不因授权的撤消而失效。</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被授权人：                供应商</w:t>
      </w:r>
      <w:r>
        <w:rPr>
          <w:rFonts w:hint="eastAsia" w:ascii="方正仿宋_GBK" w:hAnsi="宋体" w:eastAsia="方正仿宋_GBK" w:cs="Arial"/>
          <w:bCs/>
          <w:kern w:val="0"/>
          <w:sz w:val="32"/>
          <w:szCs w:val="32"/>
          <w:lang w:eastAsia="zh-CN"/>
        </w:rPr>
        <w:t>法定代表人或负责人</w:t>
      </w:r>
      <w:r>
        <w:rPr>
          <w:rFonts w:hint="eastAsia" w:ascii="方正仿宋_GBK" w:hAnsi="宋体" w:eastAsia="方正仿宋_GBK" w:cs="Arial"/>
          <w:bCs/>
          <w:kern w:val="0"/>
          <w:sz w:val="32"/>
          <w:szCs w:val="32"/>
        </w:rPr>
        <w:t>：</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（签字或盖章）           （签字或盖章）</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（附：被授权人身份证正反面复印件）</w:t>
      </w:r>
    </w:p>
    <w:p>
      <w:pPr>
        <w:widowControl/>
        <w:spacing w:line="600" w:lineRule="exact"/>
        <w:ind w:firstLine="640" w:firstLineChars="200"/>
        <w:jc w:val="lef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w:t>
      </w:r>
    </w:p>
    <w:p>
      <w:pPr>
        <w:widowControl/>
        <w:spacing w:line="600" w:lineRule="exact"/>
        <w:ind w:firstLine="640" w:firstLineChars="200"/>
        <w:jc w:val="left"/>
        <w:rPr>
          <w:rFonts w:ascii="方正仿宋_GBK" w:hAnsi="宋体" w:eastAsia="方正仿宋_GBK" w:cs="Arial"/>
          <w:bCs/>
          <w:kern w:val="0"/>
          <w:sz w:val="32"/>
          <w:szCs w:val="32"/>
        </w:rPr>
      </w:pPr>
    </w:p>
    <w:p>
      <w:pPr>
        <w:widowControl/>
        <w:spacing w:line="600" w:lineRule="exact"/>
        <w:ind w:firstLine="640" w:firstLineChars="200"/>
        <w:jc w:val="righ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（供应商公章）</w:t>
      </w:r>
    </w:p>
    <w:p>
      <w:pPr>
        <w:widowControl/>
        <w:spacing w:line="600" w:lineRule="exact"/>
        <w:ind w:firstLine="640" w:firstLineChars="200"/>
        <w:jc w:val="right"/>
        <w:rPr>
          <w:rFonts w:ascii="方正仿宋_GBK" w:hAnsi="宋体" w:eastAsia="方正仿宋_GBK" w:cs="Arial"/>
          <w:bCs/>
          <w:kern w:val="0"/>
          <w:sz w:val="32"/>
          <w:szCs w:val="32"/>
        </w:rPr>
      </w:pPr>
      <w:r>
        <w:rPr>
          <w:rFonts w:hint="eastAsia" w:ascii="方正仿宋_GBK" w:hAnsi="宋体" w:eastAsia="方正仿宋_GBK" w:cs="Arial"/>
          <w:bCs/>
          <w:kern w:val="0"/>
          <w:sz w:val="32"/>
          <w:szCs w:val="32"/>
        </w:rPr>
        <w:t>年   月   日</w:t>
      </w:r>
    </w:p>
    <w:p>
      <w:pPr>
        <w:widowControl/>
        <w:spacing w:line="600" w:lineRule="exact"/>
        <w:ind w:firstLine="640" w:firstLineChars="200"/>
        <w:jc w:val="left"/>
        <w:rPr>
          <w:rFonts w:ascii="方正仿宋_GBK" w:hAnsi="宋体" w:eastAsia="方正仿宋_GBK" w:cs="Arial"/>
          <w:bCs/>
          <w:kern w:val="0"/>
          <w:sz w:val="32"/>
          <w:szCs w:val="32"/>
        </w:rPr>
        <w:sectPr>
          <w:headerReference r:id="rId4" w:type="first"/>
          <w:footerReference r:id="rId6" w:type="first"/>
          <w:headerReference r:id="rId3" w:type="default"/>
          <w:footerReference r:id="rId5" w:type="default"/>
          <w:pgSz w:w="11907" w:h="16840"/>
          <w:pgMar w:top="1134" w:right="1191" w:bottom="1134" w:left="1304" w:header="851" w:footer="992" w:gutter="0"/>
          <w:pgNumType w:fmt="numberInDash" w:start="18"/>
          <w:cols w:space="720" w:num="1"/>
          <w:docGrid w:linePitch="381" w:charSpace="-5735"/>
        </w:sectPr>
      </w:pPr>
    </w:p>
    <w:p>
      <w:pPr>
        <w:widowControl/>
        <w:spacing w:line="600" w:lineRule="exact"/>
        <w:ind w:firstLine="643" w:firstLineChars="200"/>
        <w:jc w:val="left"/>
        <w:rPr>
          <w:rFonts w:hint="eastAsia" w:ascii="方正仿宋_GBK" w:hAnsi="宋体" w:eastAsia="方正仿宋_GBK" w:cs="Arial"/>
          <w:b/>
          <w:bCs/>
          <w:kern w:val="0"/>
          <w:sz w:val="32"/>
          <w:szCs w:val="32"/>
        </w:rPr>
      </w:pPr>
    </w:p>
    <w:bookmarkEnd w:id="3"/>
    <w:bookmarkEnd w:id="4"/>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w:t>
      </w:r>
      <w:r>
        <w:rPr>
          <w:rFonts w:hint="eastAsia" w:ascii="方正仿宋_GBK" w:hAnsi="宋体" w:eastAsia="方正仿宋_GBK" w:cs="Arial"/>
          <w:bCs/>
          <w:kern w:val="0"/>
          <w:sz w:val="32"/>
          <w:szCs w:val="32"/>
          <w:lang w:val="en-US" w:eastAsia="zh-CN"/>
        </w:rPr>
        <w:t>一</w:t>
      </w:r>
      <w:r>
        <w:rPr>
          <w:rFonts w:hint="eastAsia" w:ascii="方正仿宋_GBK" w:hAnsi="宋体" w:eastAsia="方正仿宋_GBK" w:cs="Arial"/>
          <w:bCs/>
          <w:kern w:val="0"/>
          <w:sz w:val="32"/>
          <w:szCs w:val="32"/>
        </w:rPr>
        <w:t>）存贷款比例情况</w:t>
      </w: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致（采购人名称）：</w:t>
      </w:r>
    </w:p>
    <w:p>
      <w:pPr>
        <w:widowControl/>
        <w:spacing w:line="600" w:lineRule="exact"/>
        <w:ind w:firstLine="640" w:firstLineChars="2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按重庆银保监局统计数据，我单位在重庆市2019年末的存贷款比例为</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w:t>
      </w:r>
    </w:p>
    <w:p>
      <w:pPr>
        <w:widowControl/>
        <w:spacing w:line="600" w:lineRule="exact"/>
        <w:ind w:firstLine="640" w:firstLineChars="2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证明附后，并加盖公章。</w:t>
      </w: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p>
    <w:p>
      <w:pPr>
        <w:widowControl/>
        <w:spacing w:line="600" w:lineRule="exact"/>
        <w:ind w:firstLine="5760" w:firstLineChars="18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（供应商公章）</w:t>
      </w: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年   月   日</w:t>
      </w: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w:t>
      </w:r>
      <w:r>
        <w:rPr>
          <w:rFonts w:hint="eastAsia" w:ascii="方正仿宋_GBK" w:hAnsi="宋体" w:eastAsia="方正仿宋_GBK" w:cs="Arial"/>
          <w:bCs/>
          <w:kern w:val="0"/>
          <w:sz w:val="32"/>
          <w:szCs w:val="32"/>
          <w:lang w:val="en-US" w:eastAsia="zh-CN"/>
        </w:rPr>
        <w:t>二</w:t>
      </w:r>
      <w:r>
        <w:rPr>
          <w:rFonts w:hint="eastAsia" w:ascii="方正仿宋_GBK" w:hAnsi="宋体" w:eastAsia="方正仿宋_GBK" w:cs="Arial"/>
          <w:bCs/>
          <w:kern w:val="0"/>
          <w:sz w:val="32"/>
          <w:szCs w:val="32"/>
        </w:rPr>
        <w:t>）2020年承销重庆市地方债规模情况</w:t>
      </w: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致（采购人名称）：</w:t>
      </w:r>
    </w:p>
    <w:p>
      <w:pPr>
        <w:widowControl/>
        <w:spacing w:line="600" w:lineRule="exact"/>
        <w:ind w:firstLine="640" w:firstLineChars="2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我单位</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（是或否） 2020年重庆市政府债券承销团成员。</w:t>
      </w: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2020年1-5月，按照重庆市财政局统计口径，我单位共承销重庆市地方债</w:t>
      </w:r>
      <w:r>
        <w:rPr>
          <w:rFonts w:hint="eastAsia" w:ascii="方正仿宋_GBK" w:hAnsi="宋体" w:eastAsia="方正仿宋_GBK" w:cs="Arial"/>
          <w:bCs/>
          <w:kern w:val="0"/>
          <w:sz w:val="32"/>
          <w:szCs w:val="32"/>
          <w:u w:val="single"/>
        </w:rPr>
        <w:t xml:space="preserve">      </w:t>
      </w:r>
      <w:r>
        <w:rPr>
          <w:rFonts w:hint="eastAsia" w:ascii="方正仿宋_GBK" w:hAnsi="宋体" w:eastAsia="方正仿宋_GBK" w:cs="Arial"/>
          <w:bCs/>
          <w:kern w:val="0"/>
          <w:sz w:val="32"/>
          <w:szCs w:val="32"/>
        </w:rPr>
        <w:t>亿元。</w:t>
      </w: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ind w:firstLine="5760" w:firstLineChars="18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（供应商公章）</w:t>
      </w: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年   月   日</w:t>
      </w: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w:t>
      </w:r>
      <w:r>
        <w:rPr>
          <w:rFonts w:hint="eastAsia" w:ascii="方正仿宋_GBK" w:hAnsi="宋体" w:eastAsia="方正仿宋_GBK" w:cs="Arial"/>
          <w:bCs/>
          <w:kern w:val="0"/>
          <w:sz w:val="32"/>
          <w:szCs w:val="32"/>
          <w:lang w:val="en-US" w:eastAsia="zh-CN"/>
        </w:rPr>
        <w:t>三</w:t>
      </w:r>
      <w:r>
        <w:rPr>
          <w:rFonts w:hint="eastAsia" w:ascii="方正仿宋_GBK" w:hAnsi="宋体" w:eastAsia="方正仿宋_GBK" w:cs="Arial"/>
          <w:bCs/>
          <w:kern w:val="0"/>
          <w:sz w:val="32"/>
          <w:szCs w:val="32"/>
        </w:rPr>
        <w:t>）辅导重庆市专项债项目金额情况</w:t>
      </w:r>
    </w:p>
    <w:p>
      <w:pPr>
        <w:widowControl/>
        <w:spacing w:line="600" w:lineRule="exact"/>
        <w:jc w:val="left"/>
        <w:rPr>
          <w:rFonts w:hint="eastAsia" w:ascii="方正仿宋_GBK" w:hAnsi="宋体" w:eastAsia="方正仿宋_GBK" w:cs="Arial"/>
          <w:bCs/>
          <w:kern w:val="0"/>
          <w:sz w:val="32"/>
          <w:szCs w:val="32"/>
        </w:rPr>
      </w:pPr>
    </w:p>
    <w:p>
      <w:pPr>
        <w:widowControl/>
        <w:spacing w:line="600" w:lineRule="exact"/>
        <w:jc w:val="left"/>
        <w:rPr>
          <w:rFonts w:hint="eastAsia" w:ascii="方正仿宋_GBK" w:hAnsi="仿宋_GB2312" w:eastAsia="方正仿宋_GBK" w:cs="仿宋_GB2312"/>
          <w:bCs/>
          <w:kern w:val="0"/>
          <w:sz w:val="32"/>
          <w:szCs w:val="32"/>
        </w:rPr>
      </w:pPr>
      <w:r>
        <w:rPr>
          <w:rFonts w:hint="eastAsia" w:ascii="方正仿宋_GBK" w:hAnsi="仿宋_GB2312" w:eastAsia="方正仿宋_GBK" w:cs="仿宋_GB2312"/>
          <w:bCs/>
          <w:kern w:val="0"/>
          <w:sz w:val="32"/>
          <w:szCs w:val="32"/>
        </w:rPr>
        <w:t>致（采购人名称）：</w:t>
      </w:r>
    </w:p>
    <w:p>
      <w:pPr>
        <w:widowControl/>
        <w:spacing w:line="600" w:lineRule="exact"/>
        <w:ind w:firstLine="640" w:firstLineChars="200"/>
        <w:jc w:val="left"/>
        <w:rPr>
          <w:rFonts w:hint="eastAsia" w:ascii="方正仿宋_GBK" w:hAnsi="仿宋_GB2312" w:eastAsia="方正仿宋_GBK" w:cs="仿宋_GB2312"/>
          <w:bCs/>
          <w:kern w:val="0"/>
          <w:sz w:val="32"/>
          <w:szCs w:val="32"/>
        </w:rPr>
      </w:pPr>
      <w:r>
        <w:rPr>
          <w:rFonts w:hint="eastAsia" w:ascii="方正仿宋_GBK" w:hAnsi="仿宋_GB2312" w:eastAsia="方正仿宋_GBK" w:cs="仿宋_GB2312"/>
          <w:sz w:val="32"/>
          <w:szCs w:val="32"/>
        </w:rPr>
        <w:t>从2019年9月起，</w:t>
      </w:r>
      <w:r>
        <w:rPr>
          <w:rFonts w:hint="eastAsia" w:ascii="方正仿宋_GBK" w:hAnsi="仿宋_GB2312" w:eastAsia="方正仿宋_GBK" w:cs="仿宋_GB2312"/>
          <w:bCs/>
          <w:kern w:val="0"/>
          <w:sz w:val="32"/>
          <w:szCs w:val="32"/>
        </w:rPr>
        <w:t>我单位共辅导重庆市专项债（不包含土储、棚改专项债）项目金额</w:t>
      </w:r>
      <w:r>
        <w:rPr>
          <w:rFonts w:hint="eastAsia" w:ascii="方正仿宋_GBK" w:hAnsi="仿宋_GB2312" w:eastAsia="方正仿宋_GBK" w:cs="仿宋_GB2312"/>
          <w:bCs/>
          <w:kern w:val="0"/>
          <w:sz w:val="32"/>
          <w:szCs w:val="32"/>
          <w:u w:val="single"/>
        </w:rPr>
        <w:t xml:space="preserve">        </w:t>
      </w:r>
      <w:r>
        <w:rPr>
          <w:rFonts w:hint="eastAsia" w:ascii="方正仿宋_GBK" w:hAnsi="仿宋_GB2312" w:eastAsia="方正仿宋_GBK" w:cs="仿宋_GB2312"/>
          <w:bCs/>
          <w:kern w:val="0"/>
          <w:sz w:val="32"/>
          <w:szCs w:val="32"/>
        </w:rPr>
        <w:t>亿元。本表所称辅导项目是指我单位联合会计师事务所、律师事务所为业主单位提供专项债</w:t>
      </w:r>
      <w:r>
        <w:rPr>
          <w:rFonts w:hint="eastAsia" w:ascii="方正仿宋_GBK" w:hAnsi="仿宋" w:eastAsia="方正仿宋_GBK"/>
          <w:color w:val="000000"/>
          <w:sz w:val="32"/>
          <w:szCs w:val="32"/>
        </w:rPr>
        <w:t>（不包含土储、棚改专项债）</w:t>
      </w:r>
      <w:r>
        <w:rPr>
          <w:rFonts w:hint="eastAsia" w:ascii="方正仿宋_GBK" w:hAnsi="仿宋_GB2312" w:eastAsia="方正仿宋_GBK" w:cs="仿宋_GB2312"/>
          <w:bCs/>
          <w:kern w:val="0"/>
          <w:sz w:val="32"/>
          <w:szCs w:val="32"/>
        </w:rPr>
        <w:t>发债项目咨询并编制发债资料，最终发债成功的项目。</w:t>
      </w:r>
      <w:r>
        <w:rPr>
          <w:rFonts w:hint="eastAsia" w:ascii="方正仿宋_GBK" w:hAnsi="仿宋_GB2312" w:eastAsia="方正仿宋_GBK" w:cs="仿宋_GB2312"/>
          <w:sz w:val="32"/>
          <w:szCs w:val="32"/>
        </w:rPr>
        <w:t>项目信息以在中国债券信息网（网址：www.chinabond.com.cn）披露的为准。</w:t>
      </w:r>
    </w:p>
    <w:p>
      <w:pPr>
        <w:widowControl/>
        <w:spacing w:line="600" w:lineRule="exact"/>
        <w:ind w:firstLine="640" w:firstLineChars="200"/>
        <w:jc w:val="left"/>
        <w:rPr>
          <w:rFonts w:hint="eastAsia" w:ascii="方正仿宋_GBK" w:hAnsi="仿宋_GB2312" w:eastAsia="方正仿宋_GBK" w:cs="仿宋_GB2312"/>
          <w:bCs/>
          <w:kern w:val="0"/>
          <w:sz w:val="32"/>
          <w:szCs w:val="32"/>
        </w:rPr>
      </w:pPr>
      <w:r>
        <w:rPr>
          <w:rFonts w:hint="eastAsia" w:ascii="方正仿宋_GBK" w:hAnsi="仿宋_GB2312" w:eastAsia="方正仿宋_GBK" w:cs="仿宋_GB2312"/>
          <w:bCs/>
          <w:kern w:val="0"/>
          <w:sz w:val="32"/>
          <w:szCs w:val="32"/>
        </w:rPr>
        <w:t>具体辅导项目如下表：</w:t>
      </w:r>
    </w:p>
    <w:tbl>
      <w:tblPr>
        <w:tblStyle w:val="57"/>
        <w:tblW w:w="9438" w:type="dxa"/>
        <w:jc w:val="center"/>
        <w:tblLayout w:type="fixed"/>
        <w:tblCellMar>
          <w:top w:w="15" w:type="dxa"/>
          <w:left w:w="15" w:type="dxa"/>
          <w:bottom w:w="15" w:type="dxa"/>
          <w:right w:w="15" w:type="dxa"/>
        </w:tblCellMar>
      </w:tblPr>
      <w:tblGrid>
        <w:gridCol w:w="921"/>
        <w:gridCol w:w="2126"/>
        <w:gridCol w:w="1873"/>
        <w:gridCol w:w="2575"/>
        <w:gridCol w:w="1943"/>
      </w:tblGrid>
      <w:tr>
        <w:tblPrEx>
          <w:tblCellMar>
            <w:top w:w="15" w:type="dxa"/>
            <w:left w:w="15" w:type="dxa"/>
            <w:bottom w:w="15" w:type="dxa"/>
            <w:right w:w="15" w:type="dxa"/>
          </w:tblCellMar>
        </w:tblPrEx>
        <w:trPr>
          <w:trHeight w:val="37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楷体_GBK" w:hAnsi="宋体" w:eastAsia="方正楷体_GBK" w:cs="宋体"/>
                <w:color w:val="000000"/>
                <w:szCs w:val="28"/>
              </w:rPr>
            </w:pPr>
            <w:r>
              <w:rPr>
                <w:rFonts w:hint="eastAsia" w:ascii="方正楷体_GBK" w:hAnsi="宋体" w:eastAsia="方正楷体_GBK" w:cs="宋体"/>
                <w:color w:val="000000"/>
                <w:kern w:val="0"/>
                <w:szCs w:val="28"/>
                <w:lang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楷体_GBK" w:hAnsi="宋体" w:eastAsia="方正楷体_GBK" w:cs="宋体"/>
                <w:color w:val="000000"/>
                <w:szCs w:val="28"/>
              </w:rPr>
            </w:pPr>
            <w:r>
              <w:rPr>
                <w:rFonts w:hint="eastAsia" w:ascii="方正楷体_GBK" w:hAnsi="宋体" w:eastAsia="方正楷体_GBK" w:cs="宋体"/>
                <w:color w:val="000000"/>
                <w:kern w:val="0"/>
                <w:szCs w:val="28"/>
                <w:lang w:bidi="ar"/>
              </w:rPr>
              <w:t>发债项目名称</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楷体_GBK" w:hAnsi="宋体" w:eastAsia="方正楷体_GBK" w:cs="宋体"/>
                <w:color w:val="000000"/>
                <w:szCs w:val="28"/>
              </w:rPr>
            </w:pPr>
            <w:r>
              <w:rPr>
                <w:rFonts w:hint="eastAsia" w:ascii="方正楷体_GBK" w:hAnsi="宋体" w:eastAsia="方正楷体_GBK" w:cs="宋体"/>
                <w:color w:val="000000"/>
                <w:kern w:val="0"/>
                <w:szCs w:val="28"/>
                <w:lang w:bidi="ar"/>
              </w:rPr>
              <w:t>发债项目业主</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楷体_GBK" w:hAnsi="宋体" w:eastAsia="方正楷体_GBK" w:cs="宋体"/>
                <w:color w:val="000000"/>
                <w:szCs w:val="28"/>
              </w:rPr>
            </w:pPr>
            <w:r>
              <w:rPr>
                <w:rFonts w:hint="eastAsia" w:ascii="方正楷体_GBK" w:hAnsi="宋体" w:eastAsia="方正楷体_GBK" w:cs="宋体"/>
                <w:color w:val="000000"/>
                <w:kern w:val="0"/>
                <w:szCs w:val="28"/>
                <w:lang w:bidi="ar"/>
              </w:rPr>
              <w:t>发债项目金额（亿元）</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楷体_GBK" w:hAnsi="宋体" w:eastAsia="方正楷体_GBK" w:cs="宋体"/>
                <w:color w:val="000000"/>
                <w:szCs w:val="28"/>
              </w:rPr>
            </w:pPr>
            <w:r>
              <w:rPr>
                <w:rFonts w:hint="eastAsia" w:ascii="方正楷体_GBK" w:hAnsi="宋体" w:eastAsia="方正楷体_GBK" w:cs="宋体"/>
                <w:color w:val="000000"/>
                <w:kern w:val="0"/>
                <w:szCs w:val="28"/>
                <w:lang w:bidi="ar"/>
              </w:rPr>
              <w:t>辅导时间</w:t>
            </w:r>
          </w:p>
        </w:tc>
      </w:tr>
      <w:tr>
        <w:tblPrEx>
          <w:tblCellMar>
            <w:top w:w="15" w:type="dxa"/>
            <w:left w:w="15" w:type="dxa"/>
            <w:bottom w:w="15" w:type="dxa"/>
            <w:right w:w="15" w:type="dxa"/>
          </w:tblCellMar>
        </w:tblPrEx>
        <w:trPr>
          <w:trHeight w:val="37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**年**月</w:t>
            </w:r>
          </w:p>
        </w:tc>
      </w:tr>
      <w:tr>
        <w:tblPrEx>
          <w:tblCellMar>
            <w:top w:w="15" w:type="dxa"/>
            <w:left w:w="15" w:type="dxa"/>
            <w:bottom w:w="15" w:type="dxa"/>
            <w:right w:w="15" w:type="dxa"/>
          </w:tblCellMar>
        </w:tblPrEx>
        <w:trPr>
          <w:trHeight w:val="37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**年**月</w:t>
            </w:r>
          </w:p>
        </w:tc>
      </w:tr>
      <w:tr>
        <w:tblPrEx>
          <w:tblCellMar>
            <w:top w:w="15" w:type="dxa"/>
            <w:left w:w="15" w:type="dxa"/>
            <w:bottom w:w="15" w:type="dxa"/>
            <w:right w:w="15" w:type="dxa"/>
          </w:tblCellMar>
        </w:tblPrEx>
        <w:trPr>
          <w:trHeight w:val="37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**年**月</w:t>
            </w:r>
          </w:p>
        </w:tc>
      </w:tr>
      <w:tr>
        <w:tblPrEx>
          <w:tblCellMar>
            <w:top w:w="15" w:type="dxa"/>
            <w:left w:w="15" w:type="dxa"/>
            <w:bottom w:w="15" w:type="dxa"/>
            <w:right w:w="15" w:type="dxa"/>
          </w:tblCellMar>
        </w:tblPrEx>
        <w:trPr>
          <w:trHeight w:val="375"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宋体" w:eastAsia="方正仿宋_GBK" w:cs="宋体"/>
                <w:color w:val="000000"/>
                <w:sz w:val="24"/>
                <w:szCs w:val="24"/>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宋体" w:eastAsia="方正仿宋_GBK" w:cs="宋体"/>
                <w:color w:val="000000"/>
                <w:sz w:val="24"/>
                <w:szCs w:val="24"/>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宋体" w:eastAsia="方正仿宋_GBK" w:cs="宋体"/>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宋体" w:eastAsia="方正仿宋_GBK" w:cs="宋体"/>
                <w:color w:val="000000"/>
                <w:sz w:val="24"/>
                <w:szCs w:val="24"/>
              </w:rPr>
            </w:pPr>
          </w:p>
        </w:tc>
      </w:tr>
      <w:tr>
        <w:tblPrEx>
          <w:tblCellMar>
            <w:top w:w="15" w:type="dxa"/>
            <w:left w:w="15" w:type="dxa"/>
            <w:bottom w:w="15" w:type="dxa"/>
            <w:right w:w="15" w:type="dxa"/>
          </w:tblCellMar>
        </w:tblPrEx>
        <w:trPr>
          <w:trHeight w:val="375" w:hRule="atLeast"/>
          <w:jc w:val="center"/>
        </w:trPr>
        <w:tc>
          <w:tcPr>
            <w:tcW w:w="4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合计</w:t>
            </w:r>
          </w:p>
        </w:tc>
        <w:tc>
          <w:tcPr>
            <w:tcW w:w="25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宋体" w:eastAsia="方正仿宋_GBK" w:cs="宋体"/>
                <w:color w:val="000000"/>
                <w:sz w:val="24"/>
                <w:szCs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sz w:val="24"/>
                <w:szCs w:val="24"/>
              </w:rPr>
              <w:t>/</w:t>
            </w:r>
          </w:p>
        </w:tc>
      </w:tr>
    </w:tbl>
    <w:p>
      <w:pPr>
        <w:widowControl/>
        <w:spacing w:line="600" w:lineRule="exact"/>
        <w:ind w:firstLine="640" w:firstLineChars="200"/>
        <w:jc w:val="left"/>
        <w:rPr>
          <w:rFonts w:hint="eastAsia" w:ascii="方正仿宋_GBK" w:hAnsi="仿宋_GB2312" w:eastAsia="方正仿宋_GBK" w:cs="仿宋_GB2312"/>
          <w:bCs/>
          <w:kern w:val="0"/>
          <w:sz w:val="32"/>
          <w:szCs w:val="32"/>
        </w:rPr>
      </w:pPr>
      <w:r>
        <w:rPr>
          <w:rFonts w:hint="eastAsia" w:ascii="方正仿宋_GBK" w:hAnsi="仿宋_GB2312" w:eastAsia="方正仿宋_GBK" w:cs="仿宋_GB2312"/>
          <w:bCs/>
          <w:kern w:val="0"/>
          <w:sz w:val="32"/>
          <w:szCs w:val="32"/>
        </w:rPr>
        <w:t>每个项目佐证材料如下</w:t>
      </w:r>
      <w:r>
        <w:rPr>
          <w:rFonts w:hint="eastAsia" w:ascii="方正仿宋_GBK" w:hAnsi="仿宋_GB2312" w:eastAsia="方正仿宋_GBK" w:cs="仿宋_GB2312"/>
          <w:sz w:val="32"/>
          <w:szCs w:val="32"/>
        </w:rPr>
        <w:t>（如辅导合同或会计师事务所、律师事务所证明文件或业务单位证明文件等，加盖相应单位鲜章）</w:t>
      </w:r>
    </w:p>
    <w:p>
      <w:pPr>
        <w:widowControl/>
        <w:spacing w:line="600" w:lineRule="exact"/>
        <w:ind w:firstLine="640" w:firstLineChars="200"/>
        <w:jc w:val="left"/>
        <w:rPr>
          <w:rFonts w:hint="eastAsia" w:ascii="方正仿宋_GBK" w:hAnsi="仿宋_GB2312" w:eastAsia="方正仿宋_GBK" w:cs="仿宋_GB2312"/>
          <w:bCs/>
          <w:kern w:val="0"/>
          <w:sz w:val="32"/>
          <w:szCs w:val="32"/>
        </w:rPr>
      </w:pPr>
    </w:p>
    <w:p>
      <w:pPr>
        <w:widowControl/>
        <w:spacing w:line="600" w:lineRule="exact"/>
        <w:ind w:firstLine="640" w:firstLineChars="200"/>
        <w:jc w:val="left"/>
        <w:rPr>
          <w:rFonts w:hint="eastAsia" w:ascii="方正仿宋_GBK" w:hAnsi="仿宋_GB2312" w:eastAsia="方正仿宋_GBK" w:cs="仿宋_GB2312"/>
          <w:bCs/>
          <w:kern w:val="0"/>
          <w:sz w:val="32"/>
          <w:szCs w:val="32"/>
        </w:rPr>
      </w:pPr>
    </w:p>
    <w:p>
      <w:pPr>
        <w:widowControl/>
        <w:spacing w:line="600" w:lineRule="exact"/>
        <w:ind w:firstLine="640" w:firstLineChars="200"/>
        <w:jc w:val="left"/>
        <w:rPr>
          <w:rFonts w:hint="eastAsia" w:ascii="方正仿宋_GBK" w:hAnsi="仿宋_GB2312" w:eastAsia="方正仿宋_GBK" w:cs="仿宋_GB2312"/>
          <w:bCs/>
          <w:kern w:val="0"/>
          <w:sz w:val="32"/>
          <w:szCs w:val="32"/>
        </w:rPr>
      </w:pPr>
    </w:p>
    <w:p>
      <w:pPr>
        <w:widowControl/>
        <w:spacing w:line="600" w:lineRule="exact"/>
        <w:ind w:firstLine="5760" w:firstLineChars="1800"/>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（供应商公章）</w:t>
      </w:r>
    </w:p>
    <w:p>
      <w:pPr>
        <w:widowControl/>
        <w:spacing w:line="600" w:lineRule="exact"/>
        <w:jc w:val="left"/>
        <w:rPr>
          <w:rFonts w:hint="eastAsia" w:ascii="方正仿宋_GBK" w:hAnsi="宋体" w:eastAsia="方正仿宋_GBK" w:cs="Arial"/>
          <w:bCs/>
          <w:kern w:val="0"/>
          <w:sz w:val="32"/>
          <w:szCs w:val="32"/>
        </w:rPr>
      </w:pPr>
      <w:r>
        <w:rPr>
          <w:rFonts w:hint="eastAsia" w:ascii="方正仿宋_GBK" w:hAnsi="宋体" w:eastAsia="方正仿宋_GBK" w:cs="Arial"/>
          <w:bCs/>
          <w:kern w:val="0"/>
          <w:sz w:val="32"/>
          <w:szCs w:val="32"/>
        </w:rPr>
        <w:t xml:space="preserve">                                     年   月   日</w:t>
      </w:r>
    </w:p>
    <w:p>
      <w:pPr>
        <w:widowControl/>
        <w:spacing w:line="600" w:lineRule="exact"/>
        <w:ind w:firstLine="640" w:firstLineChars="200"/>
        <w:jc w:val="left"/>
        <w:rPr>
          <w:rFonts w:ascii="方正仿宋_GBK" w:hAnsi="仿宋_GB2312" w:eastAsia="方正仿宋_GBK" w:cs="仿宋_GB2312"/>
          <w:bCs/>
          <w:kern w:val="0"/>
          <w:sz w:val="32"/>
          <w:szCs w:val="32"/>
        </w:rPr>
      </w:pPr>
    </w:p>
    <w:sectPr>
      <w:headerReference r:id="rId8" w:type="first"/>
      <w:footerReference r:id="rId10" w:type="first"/>
      <w:headerReference r:id="rId7" w:type="default"/>
      <w:footerReference r:id="rId9" w:type="default"/>
      <w:pgSz w:w="11907" w:h="16840"/>
      <w:pgMar w:top="1134" w:right="1191" w:bottom="1134" w:left="1304" w:header="964" w:footer="992" w:gutter="0"/>
      <w:pgNumType w:fmt="numberInDash"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33 -</w:t>
    </w:r>
    <w:r>
      <w:fldChar w:fldCharType="end"/>
    </w:r>
  </w:p>
  <w:p>
    <w:pPr>
      <w:pStyle w:val="3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rPr>
        <w:lang w:val="zh-CN"/>
      </w:rPr>
      <w:t>-</w:t>
    </w:r>
    <w:r>
      <w:t xml:space="preserve"> 1 -</w:t>
    </w:r>
    <w:r>
      <w:fldChar w:fldCharType="end"/>
    </w:r>
  </w:p>
  <w:p>
    <w:pPr>
      <w:pStyle w:val="3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rPr>
        <w:rFonts w:hint="eastAsia"/>
      </w:rPr>
      <w:t>重庆临空经济示范区开发建设有限公司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rPr>
        <w:rFonts w:hint="eastAsia"/>
      </w:rPr>
      <w:t>重庆临空经济示范区开发建设有限公司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D474A"/>
    <w:multiLevelType w:val="singleLevel"/>
    <w:tmpl w:val="9CAD47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1"/>
    <w:rsid w:val="000009D3"/>
    <w:rsid w:val="00000B16"/>
    <w:rsid w:val="00003108"/>
    <w:rsid w:val="00004242"/>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823D5"/>
    <w:rsid w:val="000926C0"/>
    <w:rsid w:val="00093A51"/>
    <w:rsid w:val="00094152"/>
    <w:rsid w:val="00094501"/>
    <w:rsid w:val="00094DC4"/>
    <w:rsid w:val="000962CC"/>
    <w:rsid w:val="00096BA8"/>
    <w:rsid w:val="000A164E"/>
    <w:rsid w:val="000A252E"/>
    <w:rsid w:val="000A6768"/>
    <w:rsid w:val="000A68C3"/>
    <w:rsid w:val="000A75DC"/>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60A78"/>
    <w:rsid w:val="0016415F"/>
    <w:rsid w:val="001663A1"/>
    <w:rsid w:val="00166AA3"/>
    <w:rsid w:val="00172A27"/>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2935"/>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956"/>
    <w:rsid w:val="002A6710"/>
    <w:rsid w:val="002A69D4"/>
    <w:rsid w:val="002B6308"/>
    <w:rsid w:val="002B7904"/>
    <w:rsid w:val="002C1C32"/>
    <w:rsid w:val="002C2E6E"/>
    <w:rsid w:val="002C3B1C"/>
    <w:rsid w:val="002C4513"/>
    <w:rsid w:val="002D187B"/>
    <w:rsid w:val="002D44D2"/>
    <w:rsid w:val="002D5A9B"/>
    <w:rsid w:val="002D79E4"/>
    <w:rsid w:val="002E1703"/>
    <w:rsid w:val="002E4536"/>
    <w:rsid w:val="002E6397"/>
    <w:rsid w:val="002F14B6"/>
    <w:rsid w:val="002F2CA9"/>
    <w:rsid w:val="002F3DE3"/>
    <w:rsid w:val="002F5642"/>
    <w:rsid w:val="002F61E2"/>
    <w:rsid w:val="002F632E"/>
    <w:rsid w:val="002F633F"/>
    <w:rsid w:val="002F7320"/>
    <w:rsid w:val="00307880"/>
    <w:rsid w:val="00310AF9"/>
    <w:rsid w:val="00315742"/>
    <w:rsid w:val="00315969"/>
    <w:rsid w:val="003163B3"/>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30B5"/>
    <w:rsid w:val="003C7E44"/>
    <w:rsid w:val="003D0E0A"/>
    <w:rsid w:val="003D2103"/>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31F5"/>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74624"/>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C1C07"/>
    <w:rsid w:val="004C1DD0"/>
    <w:rsid w:val="004C64E4"/>
    <w:rsid w:val="004C7950"/>
    <w:rsid w:val="004C7BA9"/>
    <w:rsid w:val="004D0D2D"/>
    <w:rsid w:val="004E55DB"/>
    <w:rsid w:val="004E6966"/>
    <w:rsid w:val="004E6DDD"/>
    <w:rsid w:val="004F6896"/>
    <w:rsid w:val="0050059F"/>
    <w:rsid w:val="00502B2F"/>
    <w:rsid w:val="005044BF"/>
    <w:rsid w:val="00507E4D"/>
    <w:rsid w:val="0051167C"/>
    <w:rsid w:val="00511A59"/>
    <w:rsid w:val="005127F7"/>
    <w:rsid w:val="00512D00"/>
    <w:rsid w:val="00514179"/>
    <w:rsid w:val="00520A91"/>
    <w:rsid w:val="005214CF"/>
    <w:rsid w:val="00522798"/>
    <w:rsid w:val="0052727A"/>
    <w:rsid w:val="00533F6F"/>
    <w:rsid w:val="0053584D"/>
    <w:rsid w:val="00536C81"/>
    <w:rsid w:val="00544805"/>
    <w:rsid w:val="005453EB"/>
    <w:rsid w:val="005460D5"/>
    <w:rsid w:val="005524F4"/>
    <w:rsid w:val="00554E3B"/>
    <w:rsid w:val="00556B19"/>
    <w:rsid w:val="00560095"/>
    <w:rsid w:val="005608D9"/>
    <w:rsid w:val="0056145E"/>
    <w:rsid w:val="00563DCD"/>
    <w:rsid w:val="005654CC"/>
    <w:rsid w:val="00566A85"/>
    <w:rsid w:val="005670E3"/>
    <w:rsid w:val="00573AE3"/>
    <w:rsid w:val="005763DE"/>
    <w:rsid w:val="005776BC"/>
    <w:rsid w:val="0058113A"/>
    <w:rsid w:val="0058433C"/>
    <w:rsid w:val="00585EC7"/>
    <w:rsid w:val="00587C47"/>
    <w:rsid w:val="005902D9"/>
    <w:rsid w:val="005912B3"/>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519"/>
    <w:rsid w:val="00612980"/>
    <w:rsid w:val="00613410"/>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651B"/>
    <w:rsid w:val="00656EEA"/>
    <w:rsid w:val="00660947"/>
    <w:rsid w:val="0066246E"/>
    <w:rsid w:val="00662E61"/>
    <w:rsid w:val="00663238"/>
    <w:rsid w:val="006638BA"/>
    <w:rsid w:val="00664607"/>
    <w:rsid w:val="006650ED"/>
    <w:rsid w:val="00665E9D"/>
    <w:rsid w:val="006668E8"/>
    <w:rsid w:val="00670089"/>
    <w:rsid w:val="00675E43"/>
    <w:rsid w:val="00682E11"/>
    <w:rsid w:val="00684E51"/>
    <w:rsid w:val="00686007"/>
    <w:rsid w:val="00686F2B"/>
    <w:rsid w:val="006874C8"/>
    <w:rsid w:val="0069098F"/>
    <w:rsid w:val="006A100B"/>
    <w:rsid w:val="006A3285"/>
    <w:rsid w:val="006A5379"/>
    <w:rsid w:val="006B0361"/>
    <w:rsid w:val="006B72DE"/>
    <w:rsid w:val="006C035E"/>
    <w:rsid w:val="006C42B8"/>
    <w:rsid w:val="006C4C48"/>
    <w:rsid w:val="006C5FC1"/>
    <w:rsid w:val="006D1FB2"/>
    <w:rsid w:val="006D44E1"/>
    <w:rsid w:val="006E21FA"/>
    <w:rsid w:val="006F0FB7"/>
    <w:rsid w:val="006F1E1A"/>
    <w:rsid w:val="006F7C13"/>
    <w:rsid w:val="007004F8"/>
    <w:rsid w:val="00700FD3"/>
    <w:rsid w:val="00704E5D"/>
    <w:rsid w:val="00705739"/>
    <w:rsid w:val="00713498"/>
    <w:rsid w:val="00726088"/>
    <w:rsid w:val="00726962"/>
    <w:rsid w:val="00730B6A"/>
    <w:rsid w:val="00733130"/>
    <w:rsid w:val="00736D88"/>
    <w:rsid w:val="00736DD2"/>
    <w:rsid w:val="00737C84"/>
    <w:rsid w:val="0074228C"/>
    <w:rsid w:val="0074681C"/>
    <w:rsid w:val="00746EC2"/>
    <w:rsid w:val="00747754"/>
    <w:rsid w:val="00754567"/>
    <w:rsid w:val="00761CB0"/>
    <w:rsid w:val="00763933"/>
    <w:rsid w:val="00764696"/>
    <w:rsid w:val="007703A3"/>
    <w:rsid w:val="00771F68"/>
    <w:rsid w:val="007733A6"/>
    <w:rsid w:val="00773C2A"/>
    <w:rsid w:val="007750B9"/>
    <w:rsid w:val="00775FCC"/>
    <w:rsid w:val="007768EC"/>
    <w:rsid w:val="00776D08"/>
    <w:rsid w:val="00783AAD"/>
    <w:rsid w:val="007867D4"/>
    <w:rsid w:val="0079172A"/>
    <w:rsid w:val="00794E86"/>
    <w:rsid w:val="007959AC"/>
    <w:rsid w:val="007976AD"/>
    <w:rsid w:val="0079799F"/>
    <w:rsid w:val="00797C14"/>
    <w:rsid w:val="007A0B36"/>
    <w:rsid w:val="007A1D4B"/>
    <w:rsid w:val="007A20E0"/>
    <w:rsid w:val="007A223F"/>
    <w:rsid w:val="007A4AF8"/>
    <w:rsid w:val="007B0088"/>
    <w:rsid w:val="007B0DBE"/>
    <w:rsid w:val="007B2204"/>
    <w:rsid w:val="007B798D"/>
    <w:rsid w:val="007C15A3"/>
    <w:rsid w:val="007C1B48"/>
    <w:rsid w:val="007C3CFB"/>
    <w:rsid w:val="007D31D4"/>
    <w:rsid w:val="007D6463"/>
    <w:rsid w:val="007E3CAA"/>
    <w:rsid w:val="007E432B"/>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71F9"/>
    <w:rsid w:val="00890429"/>
    <w:rsid w:val="008904A8"/>
    <w:rsid w:val="00894B12"/>
    <w:rsid w:val="00895C8A"/>
    <w:rsid w:val="008A2687"/>
    <w:rsid w:val="008A47F4"/>
    <w:rsid w:val="008A7894"/>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F1988"/>
    <w:rsid w:val="008F3C07"/>
    <w:rsid w:val="008F6BBB"/>
    <w:rsid w:val="009017B5"/>
    <w:rsid w:val="00901F71"/>
    <w:rsid w:val="0090204C"/>
    <w:rsid w:val="009023F3"/>
    <w:rsid w:val="009031A9"/>
    <w:rsid w:val="0090383C"/>
    <w:rsid w:val="00904212"/>
    <w:rsid w:val="00904412"/>
    <w:rsid w:val="00905BFC"/>
    <w:rsid w:val="00906A2F"/>
    <w:rsid w:val="00911BD7"/>
    <w:rsid w:val="00912132"/>
    <w:rsid w:val="0092173B"/>
    <w:rsid w:val="00922FAD"/>
    <w:rsid w:val="00924F0A"/>
    <w:rsid w:val="00925C6F"/>
    <w:rsid w:val="0092663C"/>
    <w:rsid w:val="0092708B"/>
    <w:rsid w:val="00930AB9"/>
    <w:rsid w:val="00933DE9"/>
    <w:rsid w:val="009370E0"/>
    <w:rsid w:val="00937713"/>
    <w:rsid w:val="009417A4"/>
    <w:rsid w:val="009475EA"/>
    <w:rsid w:val="00950BF6"/>
    <w:rsid w:val="009601F7"/>
    <w:rsid w:val="00964248"/>
    <w:rsid w:val="00965135"/>
    <w:rsid w:val="009653E1"/>
    <w:rsid w:val="00965CE2"/>
    <w:rsid w:val="00966820"/>
    <w:rsid w:val="00966CC6"/>
    <w:rsid w:val="009744BA"/>
    <w:rsid w:val="00974F27"/>
    <w:rsid w:val="00976186"/>
    <w:rsid w:val="00980037"/>
    <w:rsid w:val="009829CC"/>
    <w:rsid w:val="00983B43"/>
    <w:rsid w:val="009840FB"/>
    <w:rsid w:val="00986C71"/>
    <w:rsid w:val="00987E35"/>
    <w:rsid w:val="009A34B3"/>
    <w:rsid w:val="009B17CB"/>
    <w:rsid w:val="009B191D"/>
    <w:rsid w:val="009B32F3"/>
    <w:rsid w:val="009B3E2A"/>
    <w:rsid w:val="009B41BD"/>
    <w:rsid w:val="009B5B56"/>
    <w:rsid w:val="009B5E5D"/>
    <w:rsid w:val="009C29AB"/>
    <w:rsid w:val="009C3034"/>
    <w:rsid w:val="009C5A25"/>
    <w:rsid w:val="009D0436"/>
    <w:rsid w:val="009D3190"/>
    <w:rsid w:val="009D32C6"/>
    <w:rsid w:val="009D3DC7"/>
    <w:rsid w:val="009D73CA"/>
    <w:rsid w:val="009D74B9"/>
    <w:rsid w:val="009D778A"/>
    <w:rsid w:val="009E5CDF"/>
    <w:rsid w:val="009E737D"/>
    <w:rsid w:val="009F2ABB"/>
    <w:rsid w:val="00A03977"/>
    <w:rsid w:val="00A06C54"/>
    <w:rsid w:val="00A07D92"/>
    <w:rsid w:val="00A105A5"/>
    <w:rsid w:val="00A11045"/>
    <w:rsid w:val="00A11FBB"/>
    <w:rsid w:val="00A123E3"/>
    <w:rsid w:val="00A2169E"/>
    <w:rsid w:val="00A26F87"/>
    <w:rsid w:val="00A26FF7"/>
    <w:rsid w:val="00A30C1B"/>
    <w:rsid w:val="00A3160B"/>
    <w:rsid w:val="00A31C5A"/>
    <w:rsid w:val="00A33A61"/>
    <w:rsid w:val="00A404F8"/>
    <w:rsid w:val="00A41EC1"/>
    <w:rsid w:val="00A445DC"/>
    <w:rsid w:val="00A44BEA"/>
    <w:rsid w:val="00A54289"/>
    <w:rsid w:val="00A54EDA"/>
    <w:rsid w:val="00A6208F"/>
    <w:rsid w:val="00A6368A"/>
    <w:rsid w:val="00A6536D"/>
    <w:rsid w:val="00A65818"/>
    <w:rsid w:val="00A700E0"/>
    <w:rsid w:val="00A70AD1"/>
    <w:rsid w:val="00A711C6"/>
    <w:rsid w:val="00A729C8"/>
    <w:rsid w:val="00A84863"/>
    <w:rsid w:val="00A875AC"/>
    <w:rsid w:val="00A91FFA"/>
    <w:rsid w:val="00A9462D"/>
    <w:rsid w:val="00A95C67"/>
    <w:rsid w:val="00A95D95"/>
    <w:rsid w:val="00A977EC"/>
    <w:rsid w:val="00AA3E62"/>
    <w:rsid w:val="00AA3FD1"/>
    <w:rsid w:val="00AA6904"/>
    <w:rsid w:val="00AB0902"/>
    <w:rsid w:val="00AB2FDB"/>
    <w:rsid w:val="00AB5838"/>
    <w:rsid w:val="00AB5ED3"/>
    <w:rsid w:val="00AB6B0C"/>
    <w:rsid w:val="00AB70CD"/>
    <w:rsid w:val="00AC245C"/>
    <w:rsid w:val="00AC48B3"/>
    <w:rsid w:val="00AC57A0"/>
    <w:rsid w:val="00AC7AC9"/>
    <w:rsid w:val="00AD0F2F"/>
    <w:rsid w:val="00AD3104"/>
    <w:rsid w:val="00AD43C0"/>
    <w:rsid w:val="00AD690F"/>
    <w:rsid w:val="00AD7DC3"/>
    <w:rsid w:val="00AE0BF6"/>
    <w:rsid w:val="00AE1920"/>
    <w:rsid w:val="00AE20F5"/>
    <w:rsid w:val="00AE4050"/>
    <w:rsid w:val="00AF01B3"/>
    <w:rsid w:val="00AF0F13"/>
    <w:rsid w:val="00AF2007"/>
    <w:rsid w:val="00AF2D57"/>
    <w:rsid w:val="00AF2EEF"/>
    <w:rsid w:val="00AF3D6A"/>
    <w:rsid w:val="00AF7992"/>
    <w:rsid w:val="00B00AB3"/>
    <w:rsid w:val="00B03817"/>
    <w:rsid w:val="00B03DC0"/>
    <w:rsid w:val="00B06953"/>
    <w:rsid w:val="00B14C52"/>
    <w:rsid w:val="00B200AA"/>
    <w:rsid w:val="00B213E2"/>
    <w:rsid w:val="00B21F57"/>
    <w:rsid w:val="00B22362"/>
    <w:rsid w:val="00B22606"/>
    <w:rsid w:val="00B24A13"/>
    <w:rsid w:val="00B26EBC"/>
    <w:rsid w:val="00B34341"/>
    <w:rsid w:val="00B34B30"/>
    <w:rsid w:val="00B36D7F"/>
    <w:rsid w:val="00B4085E"/>
    <w:rsid w:val="00B45955"/>
    <w:rsid w:val="00B45F4C"/>
    <w:rsid w:val="00B47260"/>
    <w:rsid w:val="00B478C3"/>
    <w:rsid w:val="00B51A18"/>
    <w:rsid w:val="00B54C9D"/>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7A1"/>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6D9E"/>
    <w:rsid w:val="00BF07B1"/>
    <w:rsid w:val="00BF5230"/>
    <w:rsid w:val="00BF52B9"/>
    <w:rsid w:val="00C1090C"/>
    <w:rsid w:val="00C1124B"/>
    <w:rsid w:val="00C16281"/>
    <w:rsid w:val="00C240C8"/>
    <w:rsid w:val="00C2458E"/>
    <w:rsid w:val="00C246F5"/>
    <w:rsid w:val="00C26513"/>
    <w:rsid w:val="00C3125D"/>
    <w:rsid w:val="00C33E0D"/>
    <w:rsid w:val="00C346E5"/>
    <w:rsid w:val="00C37F72"/>
    <w:rsid w:val="00C420C1"/>
    <w:rsid w:val="00C435EE"/>
    <w:rsid w:val="00C45963"/>
    <w:rsid w:val="00C45B5A"/>
    <w:rsid w:val="00C472B8"/>
    <w:rsid w:val="00C53124"/>
    <w:rsid w:val="00C53B2E"/>
    <w:rsid w:val="00C547E1"/>
    <w:rsid w:val="00C6072C"/>
    <w:rsid w:val="00C60D1E"/>
    <w:rsid w:val="00C6160A"/>
    <w:rsid w:val="00C6231E"/>
    <w:rsid w:val="00C65E06"/>
    <w:rsid w:val="00C746A4"/>
    <w:rsid w:val="00C75D83"/>
    <w:rsid w:val="00C765A8"/>
    <w:rsid w:val="00C7796B"/>
    <w:rsid w:val="00C77BF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93AB3"/>
    <w:rsid w:val="00D95923"/>
    <w:rsid w:val="00D96D99"/>
    <w:rsid w:val="00D973A0"/>
    <w:rsid w:val="00DA086B"/>
    <w:rsid w:val="00DA684D"/>
    <w:rsid w:val="00DA7E05"/>
    <w:rsid w:val="00DB0A4F"/>
    <w:rsid w:val="00DB0B29"/>
    <w:rsid w:val="00DB4794"/>
    <w:rsid w:val="00DB5C3E"/>
    <w:rsid w:val="00DB628E"/>
    <w:rsid w:val="00DB62CE"/>
    <w:rsid w:val="00DB78C1"/>
    <w:rsid w:val="00DC1726"/>
    <w:rsid w:val="00DC4209"/>
    <w:rsid w:val="00DD0EA1"/>
    <w:rsid w:val="00DD11FB"/>
    <w:rsid w:val="00DD2127"/>
    <w:rsid w:val="00DD6AC8"/>
    <w:rsid w:val="00DE2E08"/>
    <w:rsid w:val="00DE2EDD"/>
    <w:rsid w:val="00DE3E34"/>
    <w:rsid w:val="00DE4DD1"/>
    <w:rsid w:val="00DF0C25"/>
    <w:rsid w:val="00DF4EAA"/>
    <w:rsid w:val="00DF782C"/>
    <w:rsid w:val="00E030A0"/>
    <w:rsid w:val="00E0463B"/>
    <w:rsid w:val="00E06A3A"/>
    <w:rsid w:val="00E1016E"/>
    <w:rsid w:val="00E124E3"/>
    <w:rsid w:val="00E14812"/>
    <w:rsid w:val="00E15DDE"/>
    <w:rsid w:val="00E2120B"/>
    <w:rsid w:val="00E21859"/>
    <w:rsid w:val="00E2339E"/>
    <w:rsid w:val="00E246FF"/>
    <w:rsid w:val="00E323D8"/>
    <w:rsid w:val="00E3245B"/>
    <w:rsid w:val="00E35BDD"/>
    <w:rsid w:val="00E35C3E"/>
    <w:rsid w:val="00E3707B"/>
    <w:rsid w:val="00E41FFD"/>
    <w:rsid w:val="00E42ACC"/>
    <w:rsid w:val="00E47A76"/>
    <w:rsid w:val="00E50685"/>
    <w:rsid w:val="00E5257D"/>
    <w:rsid w:val="00E5705C"/>
    <w:rsid w:val="00E57F6B"/>
    <w:rsid w:val="00E60B20"/>
    <w:rsid w:val="00E621D9"/>
    <w:rsid w:val="00E66B32"/>
    <w:rsid w:val="00E67EA3"/>
    <w:rsid w:val="00E7342C"/>
    <w:rsid w:val="00E73854"/>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5C54"/>
    <w:rsid w:val="00EB7F16"/>
    <w:rsid w:val="00EC0881"/>
    <w:rsid w:val="00EC14E9"/>
    <w:rsid w:val="00EC22B3"/>
    <w:rsid w:val="00EC4B7E"/>
    <w:rsid w:val="00ED18C8"/>
    <w:rsid w:val="00EE1D9A"/>
    <w:rsid w:val="00EE6FF3"/>
    <w:rsid w:val="00EF030A"/>
    <w:rsid w:val="00EF0FC4"/>
    <w:rsid w:val="00EF3468"/>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222B8"/>
    <w:rsid w:val="00F22F52"/>
    <w:rsid w:val="00F23FF7"/>
    <w:rsid w:val="00F27604"/>
    <w:rsid w:val="00F35457"/>
    <w:rsid w:val="00F3595B"/>
    <w:rsid w:val="00F425DB"/>
    <w:rsid w:val="00F426A6"/>
    <w:rsid w:val="00F429FD"/>
    <w:rsid w:val="00F44A95"/>
    <w:rsid w:val="00F509FA"/>
    <w:rsid w:val="00F51513"/>
    <w:rsid w:val="00F53B01"/>
    <w:rsid w:val="00F543F1"/>
    <w:rsid w:val="00F553E7"/>
    <w:rsid w:val="00F56399"/>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DB2061"/>
    <w:rsid w:val="027C3FF3"/>
    <w:rsid w:val="03752E3C"/>
    <w:rsid w:val="05F53CAA"/>
    <w:rsid w:val="07ED1C28"/>
    <w:rsid w:val="08935326"/>
    <w:rsid w:val="0A0231FA"/>
    <w:rsid w:val="0A077BA9"/>
    <w:rsid w:val="0DA93771"/>
    <w:rsid w:val="101E51FD"/>
    <w:rsid w:val="1073342F"/>
    <w:rsid w:val="155825CA"/>
    <w:rsid w:val="178978E7"/>
    <w:rsid w:val="1B564F5B"/>
    <w:rsid w:val="1B9F0FC9"/>
    <w:rsid w:val="1E73457E"/>
    <w:rsid w:val="1F8326C0"/>
    <w:rsid w:val="20F61595"/>
    <w:rsid w:val="22346C4D"/>
    <w:rsid w:val="223F7B48"/>
    <w:rsid w:val="241D044B"/>
    <w:rsid w:val="25450DFC"/>
    <w:rsid w:val="25904083"/>
    <w:rsid w:val="25B52CF4"/>
    <w:rsid w:val="26CC6F74"/>
    <w:rsid w:val="274D38D5"/>
    <w:rsid w:val="281E63EF"/>
    <w:rsid w:val="2DEF6DE1"/>
    <w:rsid w:val="333227D0"/>
    <w:rsid w:val="335624BF"/>
    <w:rsid w:val="349A2C8C"/>
    <w:rsid w:val="36424F5B"/>
    <w:rsid w:val="3F0D3F74"/>
    <w:rsid w:val="3F263B50"/>
    <w:rsid w:val="3F5E2CA0"/>
    <w:rsid w:val="40422931"/>
    <w:rsid w:val="40610325"/>
    <w:rsid w:val="43172658"/>
    <w:rsid w:val="43734201"/>
    <w:rsid w:val="44DD647C"/>
    <w:rsid w:val="45E645E0"/>
    <w:rsid w:val="46194B0F"/>
    <w:rsid w:val="46FB2DFA"/>
    <w:rsid w:val="48244557"/>
    <w:rsid w:val="49C76882"/>
    <w:rsid w:val="4BFD6A7B"/>
    <w:rsid w:val="4CD43111"/>
    <w:rsid w:val="4CEA6680"/>
    <w:rsid w:val="4D0D1F72"/>
    <w:rsid w:val="4E0A3C8C"/>
    <w:rsid w:val="4F894115"/>
    <w:rsid w:val="4FD94CE2"/>
    <w:rsid w:val="52765845"/>
    <w:rsid w:val="52780C8E"/>
    <w:rsid w:val="53F501BB"/>
    <w:rsid w:val="540D3AE4"/>
    <w:rsid w:val="55C01AF8"/>
    <w:rsid w:val="55F44EF7"/>
    <w:rsid w:val="578059D6"/>
    <w:rsid w:val="5A835E9F"/>
    <w:rsid w:val="5B7E42C2"/>
    <w:rsid w:val="5BE84DD7"/>
    <w:rsid w:val="5D364D44"/>
    <w:rsid w:val="629C4C03"/>
    <w:rsid w:val="634B2556"/>
    <w:rsid w:val="63A50EC1"/>
    <w:rsid w:val="644C14A0"/>
    <w:rsid w:val="679B7C5B"/>
    <w:rsid w:val="67B0211E"/>
    <w:rsid w:val="67B35703"/>
    <w:rsid w:val="680C4685"/>
    <w:rsid w:val="6A032804"/>
    <w:rsid w:val="6B617B7E"/>
    <w:rsid w:val="6BF155BF"/>
    <w:rsid w:val="6CC10C5A"/>
    <w:rsid w:val="6F0E1A74"/>
    <w:rsid w:val="6F182009"/>
    <w:rsid w:val="6F863D5F"/>
    <w:rsid w:val="70091BCB"/>
    <w:rsid w:val="70244E6E"/>
    <w:rsid w:val="723A1A32"/>
    <w:rsid w:val="742F1037"/>
    <w:rsid w:val="7496248E"/>
    <w:rsid w:val="75B22436"/>
    <w:rsid w:val="76465A62"/>
    <w:rsid w:val="76E22624"/>
    <w:rsid w:val="77910B1F"/>
    <w:rsid w:val="7B7F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2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3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780"/>
      </w:tabs>
      <w:spacing w:line="360" w:lineRule="auto"/>
      <w:ind w:left="425" w:hanging="425"/>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20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1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2"/>
    <w:qFormat/>
    <w:uiPriority w:val="0"/>
  </w:style>
  <w:style w:type="paragraph" w:styleId="33">
    <w:name w:val="Body Text Indent 2"/>
    <w:basedOn w:val="1"/>
    <w:link w:val="21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21"/>
    <w:qFormat/>
    <w:uiPriority w:val="99"/>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3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20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11"/>
    <w:qFormat/>
    <w:uiPriority w:val="0"/>
    <w:pPr>
      <w:spacing w:after="120" w:line="240" w:lineRule="auto"/>
      <w:ind w:left="420" w:leftChars="200" w:firstLine="420" w:firstLineChars="200"/>
    </w:p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6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69">
    <w:name w:val="Char Char 字元 字元 字元 Char Char Char Char"/>
    <w:basedOn w:val="1"/>
    <w:qFormat/>
    <w:uiPriority w:val="0"/>
    <w:pPr>
      <w:adjustRightInd w:val="0"/>
      <w:spacing w:line="360" w:lineRule="auto"/>
    </w:pPr>
    <w:rPr>
      <w:kern w:val="0"/>
      <w:sz w:val="24"/>
    </w:rPr>
  </w:style>
  <w:style w:type="paragraph" w:customStyle="1" w:styleId="7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71">
    <w:name w:val="简单回函地址"/>
    <w:basedOn w:val="1"/>
    <w:qFormat/>
    <w:uiPriority w:val="0"/>
    <w:pPr>
      <w:adjustRightInd w:val="0"/>
      <w:snapToGrid w:val="0"/>
      <w:spacing w:line="360" w:lineRule="auto"/>
    </w:pPr>
    <w:rPr>
      <w:sz w:val="24"/>
    </w:rPr>
  </w:style>
  <w:style w:type="paragraph" w:customStyle="1" w:styleId="7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73">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7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7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76">
    <w:name w:val="样式1"/>
    <w:basedOn w:val="5"/>
    <w:qFormat/>
    <w:uiPriority w:val="0"/>
    <w:pPr>
      <w:tabs>
        <w:tab w:val="left" w:pos="720"/>
      </w:tabs>
      <w:spacing w:before="500" w:after="260" w:line="560" w:lineRule="atLeast"/>
      <w:ind w:left="420" w:hanging="420"/>
    </w:pPr>
  </w:style>
  <w:style w:type="paragraph" w:customStyle="1" w:styleId="77">
    <w:name w:val="正文4"/>
    <w:basedOn w:val="1"/>
    <w:qFormat/>
    <w:uiPriority w:val="0"/>
    <w:pPr>
      <w:tabs>
        <w:tab w:val="left" w:pos="1275"/>
      </w:tabs>
      <w:spacing w:before="60" w:after="60" w:line="360" w:lineRule="auto"/>
      <w:ind w:left="820" w:leftChars="400" w:hanging="705"/>
    </w:pPr>
    <w:rPr>
      <w:sz w:val="24"/>
    </w:rPr>
  </w:style>
  <w:style w:type="paragraph" w:customStyle="1" w:styleId="7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7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80">
    <w:name w:val="段落正文"/>
    <w:basedOn w:val="1"/>
    <w:qFormat/>
    <w:uiPriority w:val="0"/>
    <w:pPr>
      <w:spacing w:before="156" w:beforeLines="50" w:line="360" w:lineRule="auto"/>
      <w:ind w:firstLine="200" w:firstLineChars="200"/>
    </w:pPr>
    <w:rPr>
      <w:spacing w:val="2"/>
      <w:sz w:val="24"/>
    </w:rPr>
  </w:style>
  <w:style w:type="paragraph" w:customStyle="1" w:styleId="81">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82">
    <w:name w:val="表头样式"/>
    <w:basedOn w:val="1"/>
    <w:qFormat/>
    <w:uiPriority w:val="0"/>
    <w:pPr>
      <w:autoSpaceDE w:val="0"/>
      <w:autoSpaceDN w:val="0"/>
      <w:adjustRightInd w:val="0"/>
      <w:spacing w:line="360" w:lineRule="auto"/>
      <w:jc w:val="left"/>
    </w:pPr>
    <w:rPr>
      <w:b/>
      <w:kern w:val="0"/>
      <w:sz w:val="21"/>
    </w:rPr>
  </w:style>
  <w:style w:type="paragraph" w:customStyle="1" w:styleId="83">
    <w:name w:val="标书正文:  0.74 厘米"/>
    <w:basedOn w:val="1"/>
    <w:qFormat/>
    <w:uiPriority w:val="0"/>
    <w:pPr>
      <w:snapToGrid w:val="0"/>
      <w:spacing w:line="360" w:lineRule="auto"/>
      <w:ind w:firstLine="420"/>
    </w:pPr>
    <w:rPr>
      <w:sz w:val="24"/>
    </w:rPr>
  </w:style>
  <w:style w:type="paragraph" w:customStyle="1" w:styleId="84">
    <w:name w:val="样式 样式 首行缩进:  2 字符 + 首行缩进:  2 字符"/>
    <w:basedOn w:val="1"/>
    <w:qFormat/>
    <w:uiPriority w:val="0"/>
    <w:pPr>
      <w:spacing w:line="360" w:lineRule="auto"/>
      <w:ind w:firstLine="480" w:firstLineChars="200"/>
    </w:pPr>
    <w:rPr>
      <w:sz w:val="24"/>
    </w:rPr>
  </w:style>
  <w:style w:type="paragraph" w:customStyle="1" w:styleId="85">
    <w:name w:val="关键词"/>
    <w:basedOn w:val="1"/>
    <w:next w:val="1"/>
    <w:qFormat/>
    <w:uiPriority w:val="0"/>
    <w:pPr>
      <w:spacing w:line="360" w:lineRule="auto"/>
    </w:pPr>
    <w:rPr>
      <w:rFonts w:eastAsia="黑体"/>
      <w:sz w:val="20"/>
    </w:rPr>
  </w:style>
  <w:style w:type="paragraph" w:customStyle="1" w:styleId="86">
    <w:name w:val="Char2 Char Char Char Char Char Char"/>
    <w:basedOn w:val="1"/>
    <w:qFormat/>
    <w:uiPriority w:val="0"/>
    <w:rPr>
      <w:rFonts w:ascii="仿宋_GB2312"/>
      <w:b/>
      <w:sz w:val="30"/>
    </w:rPr>
  </w:style>
  <w:style w:type="paragraph" w:customStyle="1" w:styleId="87">
    <w:name w:val="首行缩进"/>
    <w:basedOn w:val="1"/>
    <w:qFormat/>
    <w:uiPriority w:val="0"/>
    <w:pPr>
      <w:tabs>
        <w:tab w:val="left" w:pos="540"/>
      </w:tabs>
      <w:spacing w:line="360" w:lineRule="auto"/>
      <w:ind w:left="540"/>
    </w:pPr>
    <w:rPr>
      <w:rFonts w:eastAsia="仿宋_GB2312"/>
    </w:rPr>
  </w:style>
  <w:style w:type="paragraph" w:customStyle="1" w:styleId="88">
    <w:name w:val="默认段落字体 Para Char Char Char Char Char Char Char"/>
    <w:basedOn w:val="1"/>
    <w:qFormat/>
    <w:uiPriority w:val="0"/>
    <w:rPr>
      <w:rFonts w:ascii="Tahoma" w:hAnsi="Tahoma"/>
      <w:sz w:val="24"/>
    </w:rPr>
  </w:style>
  <w:style w:type="paragraph" w:customStyle="1" w:styleId="8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90">
    <w:name w:val="正文1"/>
    <w:basedOn w:val="1"/>
    <w:qFormat/>
    <w:uiPriority w:val="0"/>
    <w:pPr>
      <w:spacing w:line="300" w:lineRule="auto"/>
      <w:ind w:firstLine="200" w:firstLineChars="200"/>
    </w:pPr>
    <w:rPr>
      <w:sz w:val="24"/>
    </w:rPr>
  </w:style>
  <w:style w:type="paragraph" w:customStyle="1" w:styleId="91">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9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9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9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9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96">
    <w:name w:val="正文字缩2字"/>
    <w:basedOn w:val="1"/>
    <w:qFormat/>
    <w:uiPriority w:val="0"/>
    <w:pPr>
      <w:spacing w:before="60" w:after="60" w:line="360" w:lineRule="auto"/>
      <w:ind w:left="200" w:leftChars="200" w:firstLine="200" w:firstLineChars="200"/>
    </w:pPr>
    <w:rPr>
      <w:sz w:val="24"/>
    </w:rPr>
  </w:style>
  <w:style w:type="paragraph" w:customStyle="1" w:styleId="97">
    <w:name w:val="可研正文"/>
    <w:basedOn w:val="22"/>
    <w:qFormat/>
    <w:uiPriority w:val="0"/>
    <w:pPr>
      <w:adjustRightInd w:val="0"/>
      <w:snapToGrid w:val="0"/>
      <w:spacing w:line="440" w:lineRule="exact"/>
      <w:ind w:firstLine="567"/>
    </w:pPr>
    <w:rPr>
      <w:sz w:val="28"/>
    </w:rPr>
  </w:style>
  <w:style w:type="paragraph" w:customStyle="1" w:styleId="98">
    <w:name w:val="Title - Date"/>
    <w:basedOn w:val="53"/>
    <w:next w:val="1"/>
    <w:qFormat/>
    <w:uiPriority w:val="0"/>
    <w:pPr>
      <w:spacing w:before="240" w:after="720"/>
    </w:pPr>
    <w:rPr>
      <w:sz w:val="28"/>
    </w:rPr>
  </w:style>
  <w:style w:type="paragraph" w:customStyle="1" w:styleId="99">
    <w:name w:val="Char"/>
    <w:basedOn w:val="1"/>
    <w:qFormat/>
    <w:uiPriority w:val="0"/>
    <w:pPr>
      <w:spacing w:line="240" w:lineRule="atLeast"/>
      <w:ind w:left="420" w:firstLine="420"/>
    </w:pPr>
    <w:rPr>
      <w:kern w:val="0"/>
      <w:sz w:val="21"/>
    </w:rPr>
  </w:style>
  <w:style w:type="paragraph" w:customStyle="1" w:styleId="10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01">
    <w:name w:val="表头文本"/>
    <w:qFormat/>
    <w:uiPriority w:val="0"/>
    <w:pPr>
      <w:jc w:val="center"/>
    </w:pPr>
    <w:rPr>
      <w:rFonts w:ascii="Arial" w:hAnsi="Arial" w:eastAsia="宋体" w:cs="Times New Roman"/>
      <w:b/>
      <w:sz w:val="21"/>
      <w:lang w:val="en-US" w:eastAsia="zh-CN" w:bidi="ar-SA"/>
    </w:rPr>
  </w:style>
  <w:style w:type="paragraph" w:customStyle="1" w:styleId="102">
    <w:name w:val="af"/>
    <w:basedOn w:val="1"/>
    <w:qFormat/>
    <w:uiPriority w:val="0"/>
    <w:pPr>
      <w:widowControl/>
      <w:spacing w:line="300" w:lineRule="atLeast"/>
      <w:jc w:val="left"/>
    </w:pPr>
    <w:rPr>
      <w:rFonts w:ascii="宋体" w:hAnsi="宋体"/>
      <w:kern w:val="0"/>
      <w:sz w:val="18"/>
    </w:rPr>
  </w:style>
  <w:style w:type="paragraph" w:customStyle="1" w:styleId="103">
    <w:name w:val="_Style 102"/>
    <w:qFormat/>
    <w:uiPriority w:val="0"/>
    <w:rPr>
      <w:rFonts w:ascii="Calibri" w:hAnsi="Calibri" w:eastAsia="宋体" w:cs="Times New Roman"/>
      <w:kern w:val="2"/>
      <w:sz w:val="21"/>
      <w:lang w:val="en-US" w:eastAsia="zh-CN" w:bidi="ar-SA"/>
    </w:rPr>
  </w:style>
  <w:style w:type="paragraph" w:customStyle="1" w:styleId="104">
    <w:name w:val="表格文本"/>
    <w:qFormat/>
    <w:uiPriority w:val="0"/>
    <w:pPr>
      <w:tabs>
        <w:tab w:val="decimal" w:pos="0"/>
      </w:tabs>
    </w:pPr>
    <w:rPr>
      <w:rFonts w:ascii="Arial" w:hAnsi="Arial" w:eastAsia="宋体" w:cs="Times New Roman"/>
      <w:sz w:val="21"/>
      <w:lang w:val="en-US" w:eastAsia="zh-CN" w:bidi="ar-SA"/>
    </w:rPr>
  </w:style>
  <w:style w:type="paragraph" w:customStyle="1" w:styleId="10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7">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N Feature"/>
    <w:next w:val="11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2">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3">
    <w:name w:val="正文（首行不缩进）"/>
    <w:basedOn w:val="1"/>
    <w:qFormat/>
    <w:uiPriority w:val="0"/>
    <w:pPr>
      <w:autoSpaceDE w:val="0"/>
      <w:autoSpaceDN w:val="0"/>
      <w:adjustRightInd w:val="0"/>
      <w:spacing w:line="360" w:lineRule="auto"/>
      <w:jc w:val="left"/>
    </w:pPr>
    <w:rPr>
      <w:kern w:val="0"/>
      <w:sz w:val="21"/>
    </w:rPr>
  </w:style>
  <w:style w:type="paragraph" w:customStyle="1" w:styleId="11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15">
    <w:name w:val="一级条标题"/>
    <w:basedOn w:val="116"/>
    <w:next w:val="117"/>
    <w:qFormat/>
    <w:uiPriority w:val="0"/>
    <w:pPr>
      <w:spacing w:before="0" w:beforeLines="0" w:after="0" w:afterLines="0"/>
      <w:ind w:left="525"/>
      <w:outlineLvl w:val="2"/>
    </w:pPr>
    <w:rPr>
      <w:sz w:val="21"/>
    </w:rPr>
  </w:style>
  <w:style w:type="paragraph" w:customStyle="1" w:styleId="116">
    <w:name w:val="章标题"/>
    <w:next w:val="1"/>
    <w:qFormat/>
    <w:uiPriority w:val="0"/>
    <w:pPr>
      <w:spacing w:before="156" w:beforeLines="50" w:after="156" w:afterLines="50"/>
      <w:jc w:val="both"/>
      <w:outlineLvl w:val="1"/>
    </w:pPr>
    <w:rPr>
      <w:rFonts w:ascii="黑体" w:hAnsi="Calibri" w:eastAsia="黑体" w:cs="Times New Roman"/>
      <w:sz w:val="24"/>
      <w:lang w:val="en-US" w:eastAsia="zh-CN" w:bidi="ar-SA"/>
    </w:rPr>
  </w:style>
  <w:style w:type="paragraph" w:customStyle="1" w:styleId="11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18">
    <w:name w:val="Char Char Char Char Char Char Char"/>
    <w:basedOn w:val="1"/>
    <w:qFormat/>
    <w:uiPriority w:val="0"/>
    <w:rPr>
      <w:rFonts w:ascii="Tahoma" w:hAnsi="Tahoma"/>
      <w:sz w:val="24"/>
    </w:rPr>
  </w:style>
  <w:style w:type="paragraph" w:customStyle="1" w:styleId="11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文本框样式1"/>
    <w:basedOn w:val="1"/>
    <w:qFormat/>
    <w:uiPriority w:val="0"/>
    <w:pPr>
      <w:adjustRightInd w:val="0"/>
      <w:snapToGrid w:val="0"/>
      <w:spacing w:before="60" w:line="180" w:lineRule="exact"/>
      <w:jc w:val="center"/>
    </w:pPr>
    <w:rPr>
      <w:sz w:val="21"/>
    </w:rPr>
  </w:style>
  <w:style w:type="paragraph" w:customStyle="1" w:styleId="12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2">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23">
    <w:name w:val="文字"/>
    <w:basedOn w:val="1"/>
    <w:link w:val="210"/>
    <w:qFormat/>
    <w:uiPriority w:val="0"/>
    <w:pPr>
      <w:tabs>
        <w:tab w:val="left" w:pos="8520"/>
      </w:tabs>
      <w:spacing w:line="312" w:lineRule="auto"/>
      <w:ind w:right="-210" w:firstLine="556"/>
    </w:pPr>
    <w:rPr>
      <w:rFonts w:ascii="宋体"/>
    </w:rPr>
  </w:style>
  <w:style w:type="paragraph" w:customStyle="1" w:styleId="12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5">
    <w:name w:val="样式 行距: 1.5 倍行距1"/>
    <w:basedOn w:val="1"/>
    <w:qFormat/>
    <w:uiPriority w:val="0"/>
    <w:pPr>
      <w:snapToGrid w:val="0"/>
    </w:pPr>
    <w:rPr>
      <w:sz w:val="21"/>
    </w:rPr>
  </w:style>
  <w:style w:type="paragraph" w:customStyle="1" w:styleId="126">
    <w:name w:val="二级条标题"/>
    <w:basedOn w:val="115"/>
    <w:next w:val="117"/>
    <w:qFormat/>
    <w:uiPriority w:val="0"/>
    <w:pPr>
      <w:ind w:left="840"/>
      <w:outlineLvl w:val="3"/>
    </w:pPr>
  </w:style>
  <w:style w:type="paragraph" w:customStyle="1" w:styleId="127">
    <w:name w:val="Char1 Char Char Char"/>
    <w:basedOn w:val="1"/>
    <w:qFormat/>
    <w:uiPriority w:val="0"/>
    <w:rPr>
      <w:rFonts w:ascii="Tahoma" w:hAnsi="Tahoma"/>
      <w:sz w:val="24"/>
    </w:rPr>
  </w:style>
  <w:style w:type="paragraph" w:customStyle="1" w:styleId="12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29">
    <w:name w:val="Char Char Char Char Char"/>
    <w:basedOn w:val="1"/>
    <w:qFormat/>
    <w:uiPriority w:val="0"/>
    <w:pPr>
      <w:tabs>
        <w:tab w:val="left" w:pos="425"/>
      </w:tabs>
      <w:ind w:left="1620" w:hanging="360"/>
    </w:pPr>
    <w:rPr>
      <w:rFonts w:ascii="Tahoma" w:hAnsi="Tahoma"/>
      <w:sz w:val="24"/>
    </w:rPr>
  </w:style>
  <w:style w:type="paragraph" w:customStyle="1" w:styleId="13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3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32">
    <w:name w:val="1"/>
    <w:basedOn w:val="1"/>
    <w:next w:val="30"/>
    <w:qFormat/>
    <w:uiPriority w:val="0"/>
    <w:rPr>
      <w:rFonts w:ascii="宋体" w:hAnsi="Courier New"/>
      <w:sz w:val="21"/>
    </w:rPr>
  </w:style>
  <w:style w:type="paragraph" w:customStyle="1" w:styleId="13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4">
    <w:name w:val="表格内文字"/>
    <w:basedOn w:val="30"/>
    <w:qFormat/>
    <w:uiPriority w:val="0"/>
    <w:pPr>
      <w:adjustRightInd w:val="0"/>
    </w:pPr>
    <w:rPr>
      <w:color w:val="000000"/>
      <w:lang w:val="en-GB"/>
    </w:rPr>
  </w:style>
  <w:style w:type="paragraph" w:customStyle="1" w:styleId="135">
    <w:name w:val="Char Char Char Char Char Char Char Char Char Char Char Char Char Char Char Char"/>
    <w:basedOn w:val="1"/>
    <w:qFormat/>
    <w:uiPriority w:val="0"/>
    <w:pPr>
      <w:tabs>
        <w:tab w:val="left" w:pos="360"/>
      </w:tabs>
    </w:pPr>
    <w:rPr>
      <w:sz w:val="24"/>
    </w:rPr>
  </w:style>
  <w:style w:type="paragraph" w:customStyle="1" w:styleId="13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3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8">
    <w:name w:val="图例"/>
    <w:basedOn w:val="1"/>
    <w:qFormat/>
    <w:uiPriority w:val="0"/>
    <w:pPr>
      <w:spacing w:before="120" w:after="120" w:line="360" w:lineRule="auto"/>
      <w:jc w:val="center"/>
    </w:pPr>
    <w:rPr>
      <w:rFonts w:eastAsia="仿宋_GB2312"/>
      <w:b/>
      <w:sz w:val="24"/>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摘要"/>
    <w:basedOn w:val="1"/>
    <w:next w:val="3"/>
    <w:qFormat/>
    <w:uiPriority w:val="0"/>
    <w:pPr>
      <w:spacing w:line="360" w:lineRule="auto"/>
    </w:pPr>
    <w:rPr>
      <w:rFonts w:eastAsia="黑体"/>
      <w:sz w:val="20"/>
    </w:rPr>
  </w:style>
  <w:style w:type="paragraph" w:customStyle="1" w:styleId="141">
    <w:name w:val="Style Heading 3h3Heading 3 - oldLevel 3 HeadH3level_3PIM 3se..."/>
    <w:basedOn w:val="4"/>
    <w:qFormat/>
    <w:uiPriority w:val="0"/>
    <w:pPr>
      <w:tabs>
        <w:tab w:val="left" w:pos="709"/>
        <w:tab w:val="left" w:pos="1620"/>
      </w:tabs>
      <w:ind w:left="1620" w:hanging="360"/>
    </w:pPr>
  </w:style>
  <w:style w:type="paragraph" w:customStyle="1" w:styleId="142">
    <w:name w:val="样式4"/>
    <w:basedOn w:val="5"/>
    <w:qFormat/>
    <w:uiPriority w:val="0"/>
    <w:pPr>
      <w:adjustRightInd w:val="0"/>
      <w:snapToGrid w:val="0"/>
    </w:pPr>
  </w:style>
  <w:style w:type="paragraph" w:customStyle="1" w:styleId="143">
    <w:name w:val="Char1 Char Char Char1"/>
    <w:basedOn w:val="1"/>
    <w:qFormat/>
    <w:uiPriority w:val="0"/>
    <w:rPr>
      <w:rFonts w:ascii="Tahoma" w:hAnsi="Tahoma"/>
      <w:sz w:val="30"/>
    </w:rPr>
  </w:style>
  <w:style w:type="paragraph" w:customStyle="1" w:styleId="14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5">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6">
    <w:name w:val="Char Char Char Char Char Char Char1"/>
    <w:basedOn w:val="17"/>
    <w:qFormat/>
    <w:uiPriority w:val="0"/>
    <w:rPr>
      <w:rFonts w:ascii="宋体" w:hAnsi="Tahoma"/>
    </w:rPr>
  </w:style>
  <w:style w:type="paragraph" w:customStyle="1" w:styleId="14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8">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9">
    <w:name w:val="列表项目"/>
    <w:basedOn w:val="1"/>
    <w:qFormat/>
    <w:uiPriority w:val="0"/>
    <w:pPr>
      <w:tabs>
        <w:tab w:val="left" w:pos="420"/>
      </w:tabs>
      <w:spacing w:line="288" w:lineRule="auto"/>
      <w:ind w:left="840" w:leftChars="200" w:hanging="420" w:hangingChars="200"/>
    </w:pPr>
    <w:rPr>
      <w:sz w:val="21"/>
    </w:rPr>
  </w:style>
  <w:style w:type="paragraph" w:customStyle="1" w:styleId="15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1">
    <w:name w:val="Char Char1 Char"/>
    <w:basedOn w:val="1"/>
    <w:qFormat/>
    <w:uiPriority w:val="0"/>
    <w:rPr>
      <w:rFonts w:ascii="Tahoma" w:hAnsi="Tahoma"/>
      <w:sz w:val="24"/>
      <w:szCs w:val="24"/>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内容标题"/>
    <w:basedOn w:val="17"/>
    <w:qFormat/>
    <w:uiPriority w:val="0"/>
    <w:rPr>
      <w:rFonts w:ascii="Tahoma" w:hAnsi="Tahoma"/>
      <w:sz w:val="24"/>
    </w:rPr>
  </w:style>
  <w:style w:type="paragraph" w:customStyle="1" w:styleId="154">
    <w:name w:val="样式 正文缩进正文（首行缩进两字）表正文正文非缩进特点标题4段1 + 首行缩进:  2 字符"/>
    <w:basedOn w:val="15"/>
    <w:qFormat/>
    <w:uiPriority w:val="0"/>
    <w:pPr>
      <w:ind w:firstLine="480" w:firstLineChars="200"/>
    </w:pPr>
  </w:style>
  <w:style w:type="paragraph" w:customStyle="1" w:styleId="15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56">
    <w:name w:val="默认段落字体 Para Char Char Char Char Char Char Char Char Char1 Char Char Char Char"/>
    <w:basedOn w:val="1"/>
    <w:qFormat/>
    <w:uiPriority w:val="0"/>
    <w:rPr>
      <w:rFonts w:ascii="Tahoma" w:hAnsi="Tahoma"/>
      <w:sz w:val="24"/>
    </w:rPr>
  </w:style>
  <w:style w:type="paragraph" w:customStyle="1" w:styleId="1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9">
    <w:name w:val="正文文本 21"/>
    <w:basedOn w:val="1"/>
    <w:qFormat/>
    <w:uiPriority w:val="0"/>
    <w:pPr>
      <w:adjustRightInd w:val="0"/>
      <w:spacing w:before="120" w:line="360" w:lineRule="auto"/>
      <w:ind w:firstLine="480"/>
      <w:textAlignment w:val="baseline"/>
    </w:pPr>
    <w:rPr>
      <w:sz w:val="24"/>
    </w:rPr>
  </w:style>
  <w:style w:type="paragraph" w:customStyle="1" w:styleId="16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1">
    <w:name w:val="Char Char14 Char Char"/>
    <w:basedOn w:val="1"/>
    <w:qFormat/>
    <w:uiPriority w:val="0"/>
    <w:rPr>
      <w:sz w:val="21"/>
      <w:szCs w:val="24"/>
    </w:rPr>
  </w:style>
  <w:style w:type="paragraph" w:customStyle="1" w:styleId="162">
    <w:name w:val="Table Text"/>
    <w:link w:val="203"/>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正文 + 三号"/>
    <w:basedOn w:val="1"/>
    <w:qFormat/>
    <w:uiPriority w:val="0"/>
    <w:rPr>
      <w:sz w:val="21"/>
    </w:rPr>
  </w:style>
  <w:style w:type="paragraph" w:customStyle="1" w:styleId="16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65">
    <w:name w:val="Char11"/>
    <w:basedOn w:val="1"/>
    <w:qFormat/>
    <w:uiPriority w:val="0"/>
    <w:pPr>
      <w:spacing w:line="240" w:lineRule="atLeast"/>
      <w:ind w:left="420" w:firstLine="420"/>
    </w:pPr>
    <w:rPr>
      <w:kern w:val="0"/>
      <w:sz w:val="21"/>
    </w:rPr>
  </w:style>
  <w:style w:type="paragraph" w:customStyle="1" w:styleId="166">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7">
    <w:name w:val="00"/>
    <w:basedOn w:val="1"/>
    <w:qFormat/>
    <w:uiPriority w:val="0"/>
    <w:pPr>
      <w:autoSpaceDE w:val="0"/>
      <w:autoSpaceDN w:val="0"/>
      <w:adjustRightInd w:val="0"/>
      <w:jc w:val="left"/>
    </w:pPr>
    <w:rPr>
      <w:rFonts w:ascii="黑体" w:eastAsia="黑体"/>
      <w:b/>
      <w:kern w:val="0"/>
      <w:sz w:val="20"/>
    </w:rPr>
  </w:style>
  <w:style w:type="paragraph" w:customStyle="1" w:styleId="16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9">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0">
    <w:name w:val="正文文本缩进 21"/>
    <w:basedOn w:val="1"/>
    <w:qFormat/>
    <w:uiPriority w:val="0"/>
    <w:pPr>
      <w:adjustRightInd w:val="0"/>
      <w:spacing w:before="120"/>
      <w:ind w:firstLine="420"/>
      <w:textAlignment w:val="baseline"/>
    </w:pPr>
    <w:rPr>
      <w:sz w:val="24"/>
    </w:rPr>
  </w:style>
  <w:style w:type="paragraph" w:customStyle="1" w:styleId="171">
    <w:name w:val="编号正文"/>
    <w:basedOn w:val="95"/>
    <w:qFormat/>
    <w:uiPriority w:val="0"/>
    <w:pPr>
      <w:snapToGrid/>
      <w:spacing w:line="360" w:lineRule="auto"/>
      <w:ind w:left="1407" w:hanging="1047"/>
      <w:jc w:val="left"/>
    </w:pPr>
    <w:rPr>
      <w:rFonts w:eastAsia="仿宋_GB2312"/>
    </w:rPr>
  </w:style>
  <w:style w:type="paragraph" w:customStyle="1" w:styleId="172">
    <w:name w:val="Char1"/>
    <w:basedOn w:val="1"/>
    <w:qFormat/>
    <w:uiPriority w:val="0"/>
    <w:rPr>
      <w:sz w:val="21"/>
    </w:rPr>
  </w:style>
  <w:style w:type="paragraph" w:customStyle="1" w:styleId="173">
    <w:name w:val="样式 宋体 五号 行距: 单倍行距"/>
    <w:basedOn w:val="1"/>
    <w:qFormat/>
    <w:uiPriority w:val="0"/>
    <w:pPr>
      <w:adjustRightInd w:val="0"/>
      <w:jc w:val="left"/>
    </w:pPr>
    <w:rPr>
      <w:rFonts w:ascii="宋体" w:hAnsi="宋体"/>
      <w:kern w:val="0"/>
      <w:sz w:val="21"/>
    </w:rPr>
  </w:style>
  <w:style w:type="paragraph" w:customStyle="1" w:styleId="174">
    <w:name w:val="二级列表"/>
    <w:basedOn w:val="80"/>
    <w:next w:val="80"/>
    <w:qFormat/>
    <w:uiPriority w:val="0"/>
    <w:pPr>
      <w:tabs>
        <w:tab w:val="left" w:pos="2120"/>
      </w:tabs>
      <w:ind w:firstLine="0" w:firstLineChars="0"/>
    </w:pPr>
    <w:rPr>
      <w:b/>
    </w:rPr>
  </w:style>
  <w:style w:type="paragraph" w:customStyle="1" w:styleId="175">
    <w:name w:val="Note"/>
    <w:basedOn w:val="1"/>
    <w:qFormat/>
    <w:uiPriority w:val="0"/>
    <w:pPr>
      <w:pBdr>
        <w:top w:val="single" w:color="auto" w:sz="12" w:space="3"/>
        <w:bottom w:val="single" w:color="auto" w:sz="12" w:space="3"/>
      </w:pBdr>
      <w:spacing w:line="360" w:lineRule="auto"/>
    </w:pPr>
    <w:rPr>
      <w:sz w:val="24"/>
    </w:rPr>
  </w:style>
  <w:style w:type="paragraph" w:customStyle="1" w:styleId="176">
    <w:name w:val="文章正文"/>
    <w:basedOn w:val="1"/>
    <w:qFormat/>
    <w:uiPriority w:val="0"/>
    <w:pPr>
      <w:ind w:firstLine="560" w:firstLineChars="200"/>
    </w:pPr>
    <w:rPr>
      <w:rFonts w:ascii="仿宋_GB2312" w:hAnsi="宋体" w:eastAsia="仿宋_GB2312"/>
      <w:color w:val="000000"/>
    </w:rPr>
  </w:style>
  <w:style w:type="paragraph" w:customStyle="1" w:styleId="17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8">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9">
    <w:name w:val="标题无"/>
    <w:basedOn w:val="1"/>
    <w:qFormat/>
    <w:uiPriority w:val="0"/>
    <w:pPr>
      <w:spacing w:line="360" w:lineRule="auto"/>
    </w:pPr>
    <w:rPr>
      <w:sz w:val="24"/>
    </w:rPr>
  </w:style>
  <w:style w:type="paragraph" w:customStyle="1" w:styleId="180">
    <w:name w:val="样式1xz"/>
    <w:basedOn w:val="1"/>
    <w:qFormat/>
    <w:uiPriority w:val="0"/>
    <w:pPr>
      <w:tabs>
        <w:tab w:val="left" w:pos="1050"/>
        <w:tab w:val="right" w:leader="dot" w:pos="8296"/>
      </w:tabs>
    </w:pPr>
    <w:rPr>
      <w:caps/>
      <w:spacing w:val="20"/>
      <w:sz w:val="24"/>
    </w:rPr>
  </w:style>
  <w:style w:type="paragraph" w:customStyle="1" w:styleId="181">
    <w:name w:val="Char Char Char"/>
    <w:basedOn w:val="1"/>
    <w:uiPriority w:val="0"/>
    <w:rPr>
      <w:rFonts w:ascii="Tahoma" w:hAnsi="Tahoma"/>
      <w:sz w:val="24"/>
    </w:rPr>
  </w:style>
  <w:style w:type="paragraph" w:customStyle="1" w:styleId="18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3">
    <w:name w:val="表文字"/>
    <w:uiPriority w:val="0"/>
    <w:rPr>
      <w:rFonts w:ascii="宋体" w:hAnsi="Calibri" w:eastAsia="宋体" w:cs="Times New Roman"/>
      <w:kern w:val="2"/>
      <w:lang w:val="en-US" w:eastAsia="zh-CN" w:bidi="ar-SA"/>
    </w:rPr>
  </w:style>
  <w:style w:type="paragraph" w:customStyle="1" w:styleId="184">
    <w:name w:val="首行缩进 1"/>
    <w:basedOn w:val="1"/>
    <w:qFormat/>
    <w:uiPriority w:val="0"/>
    <w:pPr>
      <w:spacing w:after="120" w:line="360" w:lineRule="auto"/>
      <w:ind w:firstLine="200" w:firstLineChars="200"/>
    </w:pPr>
    <w:rPr>
      <w:sz w:val="24"/>
    </w:rPr>
  </w:style>
  <w:style w:type="paragraph" w:customStyle="1" w:styleId="185">
    <w:name w:val="正文表格"/>
    <w:basedOn w:val="1"/>
    <w:uiPriority w:val="0"/>
    <w:pPr>
      <w:adjustRightInd w:val="0"/>
      <w:spacing w:before="40" w:after="40"/>
    </w:pPr>
    <w:rPr>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8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89">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0">
    <w:name w:val="文本1"/>
    <w:basedOn w:val="1"/>
    <w:qFormat/>
    <w:uiPriority w:val="0"/>
    <w:pPr>
      <w:adjustRightInd w:val="0"/>
      <w:spacing w:line="312" w:lineRule="atLeast"/>
      <w:jc w:val="center"/>
      <w:textAlignment w:val="baseline"/>
    </w:pPr>
    <w:rPr>
      <w:kern w:val="0"/>
      <w:sz w:val="18"/>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3">
    <w:name w:val="Table Contents"/>
    <w:basedOn w:val="22"/>
    <w:qFormat/>
    <w:uiPriority w:val="0"/>
    <w:pPr>
      <w:suppressAutoHyphens/>
      <w:jc w:val="left"/>
    </w:pPr>
    <w:rPr>
      <w:rFonts w:ascii="Times New Roman" w:eastAsia="Times New Roman"/>
      <w:kern w:val="0"/>
      <w:sz w:val="24"/>
    </w:rPr>
  </w:style>
  <w:style w:type="paragraph" w:customStyle="1" w:styleId="194">
    <w:name w:val="样式 首行缩进:  0.74 厘米"/>
    <w:basedOn w:val="1"/>
    <w:qFormat/>
    <w:uiPriority w:val="0"/>
    <w:pPr>
      <w:spacing w:line="360" w:lineRule="auto"/>
      <w:ind w:firstLine="420"/>
    </w:pPr>
    <w:rPr>
      <w:sz w:val="24"/>
    </w:rPr>
  </w:style>
  <w:style w:type="paragraph" w:customStyle="1" w:styleId="195">
    <w:name w:val="图片文字"/>
    <w:basedOn w:val="1"/>
    <w:qFormat/>
    <w:uiPriority w:val="0"/>
    <w:pPr>
      <w:spacing w:line="240" w:lineRule="atLeast"/>
      <w:jc w:val="center"/>
    </w:pPr>
    <w:rPr>
      <w:sz w:val="21"/>
    </w:rPr>
  </w:style>
  <w:style w:type="paragraph" w:customStyle="1" w:styleId="19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7">
    <w:name w:val="Title - Revision"/>
    <w:basedOn w:val="53"/>
    <w:qFormat/>
    <w:uiPriority w:val="0"/>
    <w:pPr>
      <w:spacing w:before="720"/>
    </w:pPr>
  </w:style>
  <w:style w:type="paragraph" w:customStyle="1" w:styleId="198">
    <w:name w:val="附录3"/>
    <w:basedOn w:val="1"/>
    <w:next w:val="1"/>
    <w:qFormat/>
    <w:uiPriority w:val="0"/>
    <w:pPr>
      <w:tabs>
        <w:tab w:val="left" w:pos="851"/>
      </w:tabs>
      <w:ind w:left="425" w:hanging="425"/>
      <w:outlineLvl w:val="2"/>
    </w:pPr>
    <w:rPr>
      <w:rFonts w:eastAsia="黑体"/>
      <w:b/>
      <w:sz w:val="32"/>
    </w:rPr>
  </w:style>
  <w:style w:type="paragraph" w:customStyle="1" w:styleId="199">
    <w:name w:val="1.正文"/>
    <w:basedOn w:val="1"/>
    <w:qFormat/>
    <w:uiPriority w:val="0"/>
    <w:pPr>
      <w:spacing w:line="360" w:lineRule="auto"/>
      <w:ind w:left="540" w:leftChars="225" w:firstLine="540" w:firstLineChars="225"/>
    </w:pPr>
    <w:rPr>
      <w:sz w:val="24"/>
    </w:rPr>
  </w:style>
  <w:style w:type="paragraph" w:customStyle="1" w:styleId="200">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没有缩进（为图形使用）"/>
    <w:basedOn w:val="1"/>
    <w:qFormat/>
    <w:uiPriority w:val="0"/>
    <w:pPr>
      <w:spacing w:before="120" w:after="120" w:line="360" w:lineRule="auto"/>
    </w:pPr>
    <w:rPr>
      <w:sz w:val="24"/>
    </w:rPr>
  </w:style>
  <w:style w:type="character" w:customStyle="1" w:styleId="202">
    <w:name w:val="Char Char11"/>
    <w:qFormat/>
    <w:uiPriority w:val="0"/>
    <w:rPr>
      <w:rFonts w:ascii="宋体"/>
      <w:kern w:val="2"/>
      <w:sz w:val="28"/>
    </w:rPr>
  </w:style>
  <w:style w:type="character" w:customStyle="1" w:styleId="203">
    <w:name w:val="Table Text Char"/>
    <w:link w:val="162"/>
    <w:qFormat/>
    <w:uiPriority w:val="0"/>
    <w:rPr>
      <w:rFonts w:ascii="Arial" w:hAnsi="Arial"/>
      <w:kern w:val="2"/>
      <w:sz w:val="18"/>
      <w:lang w:val="en-US" w:eastAsia="zh-CN" w:bidi="ar-SA"/>
    </w:rPr>
  </w:style>
  <w:style w:type="character" w:customStyle="1" w:styleId="204">
    <w:name w:val="标题 2 Char"/>
    <w:qFormat/>
    <w:uiPriority w:val="0"/>
    <w:rPr>
      <w:rFonts w:ascii="Arial" w:hAnsi="Arial" w:eastAsia="黑体"/>
      <w:b/>
      <w:kern w:val="2"/>
      <w:sz w:val="32"/>
    </w:rPr>
  </w:style>
  <w:style w:type="character" w:customStyle="1" w:styleId="205">
    <w:name w:val="Char Char"/>
    <w:qFormat/>
    <w:uiPriority w:val="0"/>
    <w:rPr>
      <w:rFonts w:ascii="宋体" w:hAnsi="宋体" w:eastAsia="宋体"/>
      <w:kern w:val="2"/>
      <w:sz w:val="24"/>
      <w:lang w:val="en-US" w:eastAsia="zh-CN" w:bidi="ar-SA"/>
    </w:rPr>
  </w:style>
  <w:style w:type="character" w:customStyle="1" w:styleId="206">
    <w:name w:val="批注主题 Char"/>
    <w:link w:val="54"/>
    <w:qFormat/>
    <w:uiPriority w:val="0"/>
    <w:rPr>
      <w:sz w:val="24"/>
    </w:rPr>
  </w:style>
  <w:style w:type="character" w:customStyle="1" w:styleId="207">
    <w:name w:val="批注文字 Char"/>
    <w:link w:val="19"/>
    <w:qFormat/>
    <w:uiPriority w:val="0"/>
    <w:rPr>
      <w:sz w:val="24"/>
    </w:rPr>
  </w:style>
  <w:style w:type="character" w:customStyle="1" w:styleId="208">
    <w:name w:val="未命名11"/>
    <w:qFormat/>
    <w:uiPriority w:val="0"/>
    <w:rPr>
      <w:color w:val="77FFFF"/>
      <w:sz w:val="24"/>
    </w:rPr>
  </w:style>
  <w:style w:type="character" w:customStyle="1" w:styleId="209">
    <w:name w:val="样式 宋体"/>
    <w:qFormat/>
    <w:uiPriority w:val="0"/>
    <w:rPr>
      <w:rFonts w:ascii="宋体" w:hAnsi="宋体" w:eastAsia="宋体"/>
      <w:sz w:val="28"/>
    </w:rPr>
  </w:style>
  <w:style w:type="character" w:customStyle="1" w:styleId="210">
    <w:name w:val="文字 Char"/>
    <w:link w:val="123"/>
    <w:qFormat/>
    <w:uiPriority w:val="0"/>
    <w:rPr>
      <w:rFonts w:ascii="宋体"/>
      <w:kern w:val="2"/>
      <w:sz w:val="28"/>
    </w:rPr>
  </w:style>
  <w:style w:type="character" w:customStyle="1" w:styleId="211">
    <w:name w:val="正文首行缩进 2 Char"/>
    <w:link w:val="56"/>
    <w:qFormat/>
    <w:uiPriority w:val="0"/>
    <w:rPr>
      <w:kern w:val="2"/>
      <w:sz w:val="44"/>
    </w:rPr>
  </w:style>
  <w:style w:type="character" w:customStyle="1" w:styleId="212">
    <w:name w:val="正文文本缩进 Char"/>
    <w:link w:val="23"/>
    <w:qFormat/>
    <w:uiPriority w:val="0"/>
    <w:rPr>
      <w:kern w:val="2"/>
      <w:sz w:val="44"/>
    </w:rPr>
  </w:style>
  <w:style w:type="character" w:customStyle="1" w:styleId="213">
    <w:name w:val="Table Text Char Char Char Char"/>
    <w:link w:val="200"/>
    <w:qFormat/>
    <w:uiPriority w:val="0"/>
    <w:rPr>
      <w:rFonts w:ascii="Arial" w:hAnsi="Arial"/>
      <w:kern w:val="2"/>
      <w:sz w:val="18"/>
      <w:lang w:val="en-US" w:eastAsia="zh-CN" w:bidi="ar-SA"/>
    </w:rPr>
  </w:style>
  <w:style w:type="character" w:customStyle="1" w:styleId="214">
    <w:name w:val="正文文本缩进 2 Char"/>
    <w:link w:val="33"/>
    <w:qFormat/>
    <w:uiPriority w:val="0"/>
    <w:rPr>
      <w:kern w:val="2"/>
      <w:sz w:val="28"/>
    </w:rPr>
  </w:style>
  <w:style w:type="character" w:customStyle="1" w:styleId="215">
    <w:name w:val="正文 + 三号 Char"/>
    <w:qFormat/>
    <w:uiPriority w:val="0"/>
    <w:rPr>
      <w:rFonts w:eastAsia="宋体"/>
      <w:kern w:val="2"/>
      <w:sz w:val="21"/>
      <w:lang w:val="en-US" w:eastAsia="zh-CN"/>
    </w:rPr>
  </w:style>
  <w:style w:type="character" w:customStyle="1" w:styleId="216">
    <w:name w:val="Char Char6"/>
    <w:qFormat/>
    <w:uiPriority w:val="0"/>
    <w:rPr>
      <w:rFonts w:ascii="仿宋_GB2312" w:eastAsia="仿宋_GB2312"/>
      <w:kern w:val="2"/>
      <w:sz w:val="32"/>
    </w:rPr>
  </w:style>
  <w:style w:type="character" w:customStyle="1" w:styleId="217">
    <w:name w:val="Char Char5"/>
    <w:qFormat/>
    <w:uiPriority w:val="0"/>
    <w:rPr>
      <w:rFonts w:ascii="Arial" w:hAnsi="Arial" w:eastAsia="宋体"/>
      <w:b/>
      <w:smallCaps/>
      <w:kern w:val="28"/>
      <w:sz w:val="36"/>
      <w:lang w:val="en-US" w:eastAsia="en-US"/>
    </w:rPr>
  </w:style>
  <w:style w:type="character" w:customStyle="1" w:styleId="218">
    <w:name w:val="content-white1"/>
    <w:qFormat/>
    <w:uiPriority w:val="0"/>
    <w:rPr>
      <w:rFonts w:ascii="_x000B__x000C_" w:hAnsi="_x000B__x000C_"/>
      <w:color w:val="auto"/>
      <w:sz w:val="18"/>
      <w:u w:val="none"/>
    </w:rPr>
  </w:style>
  <w:style w:type="character" w:customStyle="1" w:styleId="219">
    <w:name w:val="crowed11"/>
    <w:qFormat/>
    <w:uiPriority w:val="0"/>
    <w:rPr>
      <w:rFonts w:hint="default" w:ascii="_x000B__x000C_" w:hAnsi="_x000B__x000C_"/>
      <w:sz w:val="24"/>
    </w:rPr>
  </w:style>
  <w:style w:type="character" w:customStyle="1" w:styleId="220">
    <w:name w:val="v151"/>
    <w:qFormat/>
    <w:uiPriority w:val="0"/>
    <w:rPr>
      <w:sz w:val="18"/>
    </w:rPr>
  </w:style>
  <w:style w:type="character" w:customStyle="1" w:styleId="221">
    <w:name w:val="页脚 Char"/>
    <w:link w:val="35"/>
    <w:qFormat/>
    <w:uiPriority w:val="99"/>
    <w:rPr>
      <w:kern w:val="2"/>
      <w:sz w:val="18"/>
    </w:rPr>
  </w:style>
  <w:style w:type="character" w:customStyle="1" w:styleId="222">
    <w:name w:val="日期 Char"/>
    <w:link w:val="32"/>
    <w:qFormat/>
    <w:uiPriority w:val="0"/>
    <w:rPr>
      <w:kern w:val="2"/>
      <w:sz w:val="28"/>
    </w:rPr>
  </w:style>
  <w:style w:type="character" w:customStyle="1" w:styleId="223">
    <w:name w:val="Table Text Char1 Char"/>
    <w:qFormat/>
    <w:uiPriority w:val="0"/>
    <w:rPr>
      <w:rFonts w:ascii="Arial" w:hAnsi="Arial"/>
      <w:kern w:val="2"/>
      <w:sz w:val="18"/>
      <w:lang w:val="en-US" w:eastAsia="zh-CN" w:bidi="ar-SA"/>
    </w:rPr>
  </w:style>
  <w:style w:type="character" w:customStyle="1" w:styleId="224">
    <w:name w:val="Char Char3"/>
    <w:qFormat/>
    <w:uiPriority w:val="0"/>
    <w:rPr>
      <w:rFonts w:eastAsia="宋体"/>
      <w:kern w:val="2"/>
      <w:sz w:val="18"/>
      <w:lang w:val="en-US" w:eastAsia="zh-CN"/>
    </w:rPr>
  </w:style>
  <w:style w:type="character" w:customStyle="1" w:styleId="225">
    <w:name w:val="Char Char4"/>
    <w:qFormat/>
    <w:uiPriority w:val="0"/>
    <w:rPr>
      <w:rFonts w:eastAsia="宋体"/>
      <w:b/>
      <w:kern w:val="2"/>
      <w:sz w:val="21"/>
      <w:lang w:val="en-US" w:eastAsia="zh-CN"/>
    </w:rPr>
  </w:style>
  <w:style w:type="character" w:customStyle="1" w:styleId="226">
    <w:name w:val="小 Char"/>
    <w:qFormat/>
    <w:uiPriority w:val="0"/>
    <w:rPr>
      <w:rFonts w:ascii="宋体" w:hAnsi="Courier New" w:eastAsia="宋体"/>
      <w:kern w:val="2"/>
      <w:sz w:val="21"/>
      <w:lang w:val="en-US" w:eastAsia="zh-CN" w:bidi="ar-SA"/>
    </w:rPr>
  </w:style>
  <w:style w:type="character" w:customStyle="1" w:styleId="227">
    <w:name w:val="标题 2 Char1"/>
    <w:link w:val="3"/>
    <w:qFormat/>
    <w:uiPriority w:val="0"/>
    <w:rPr>
      <w:rFonts w:ascii="Arial" w:hAnsi="Arial" w:eastAsia="黑体"/>
      <w:b/>
      <w:kern w:val="2"/>
      <w:sz w:val="32"/>
    </w:rPr>
  </w:style>
  <w:style w:type="character" w:customStyle="1" w:styleId="228">
    <w:name w:val="标书正文:  0.74 厘米 Char1"/>
    <w:qFormat/>
    <w:uiPriority w:val="0"/>
    <w:rPr>
      <w:rFonts w:eastAsia="宋体"/>
      <w:kern w:val="2"/>
      <w:sz w:val="24"/>
      <w:lang w:val="en-US" w:eastAsia="zh-CN"/>
    </w:rPr>
  </w:style>
  <w:style w:type="character" w:customStyle="1" w:styleId="229">
    <w:name w:val="Char Char2"/>
    <w:qFormat/>
    <w:uiPriority w:val="0"/>
    <w:rPr>
      <w:rFonts w:eastAsia="宋体"/>
      <w:kern w:val="2"/>
      <w:sz w:val="18"/>
      <w:lang w:val="en-US" w:eastAsia="zh-CN"/>
    </w:rPr>
  </w:style>
  <w:style w:type="character" w:customStyle="1" w:styleId="230">
    <w:name w:val="title_emph1"/>
    <w:qFormat/>
    <w:uiPriority w:val="0"/>
    <w:rPr>
      <w:rFonts w:hint="default" w:ascii="Arial" w:hAnsi="Arial"/>
      <w:b/>
      <w:sz w:val="20"/>
    </w:rPr>
  </w:style>
  <w:style w:type="character" w:customStyle="1" w:styleId="231">
    <w:name w:val="H2 Char"/>
    <w:qFormat/>
    <w:uiPriority w:val="0"/>
    <w:rPr>
      <w:rFonts w:ascii="Arial" w:hAnsi="Arial" w:eastAsia="宋体"/>
      <w:kern w:val="2"/>
      <w:sz w:val="28"/>
      <w:lang w:val="en-US" w:eastAsia="zh-CN"/>
    </w:rPr>
  </w:style>
  <w:style w:type="character" w:customStyle="1" w:styleId="232">
    <w:name w:val="Char Char7"/>
    <w:qFormat/>
    <w:uiPriority w:val="0"/>
    <w:rPr>
      <w:rFonts w:ascii="宋体" w:hAnsi="宋体" w:eastAsia="宋体"/>
      <w:kern w:val="2"/>
      <w:sz w:val="28"/>
    </w:rPr>
  </w:style>
  <w:style w:type="character" w:customStyle="1" w:styleId="233">
    <w:name w:val="top-det1"/>
    <w:qFormat/>
    <w:uiPriority w:val="0"/>
    <w:rPr>
      <w:b/>
      <w:color w:val="000000"/>
    </w:rPr>
  </w:style>
  <w:style w:type="character" w:customStyle="1" w:styleId="234">
    <w:name w:val="Table Heading Char Char"/>
    <w:qFormat/>
    <w:uiPriority w:val="0"/>
    <w:rPr>
      <w:rFonts w:ascii="Arial" w:hAnsi="Arial" w:eastAsia="黑体"/>
      <w:kern w:val="2"/>
      <w:sz w:val="18"/>
      <w:lang w:val="en-US" w:eastAsia="zh-CN"/>
    </w:rPr>
  </w:style>
  <w:style w:type="character" w:customStyle="1" w:styleId="235">
    <w:name w:val="脚注文本 Char"/>
    <w:link w:val="40"/>
    <w:qFormat/>
    <w:uiPriority w:val="0"/>
    <w:rPr>
      <w:kern w:val="2"/>
      <w:sz w:val="18"/>
    </w:rPr>
  </w:style>
  <w:style w:type="character" w:customStyle="1" w:styleId="236">
    <w:name w:val="font1"/>
    <w:qFormat/>
    <w:uiPriority w:val="0"/>
    <w:rPr>
      <w:color w:val="000000"/>
      <w:sz w:val="18"/>
    </w:rPr>
  </w:style>
  <w:style w:type="character" w:customStyle="1" w:styleId="237">
    <w:name w:val="标题 3 Char"/>
    <w:link w:val="4"/>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刘佳</Manager>
  <Company>重庆临空经济示范区开发建设有限公司</Company>
  <Pages>27</Pages>
  <Words>1670</Words>
  <Characters>9521</Characters>
  <Lines>79</Lines>
  <Paragraphs>22</Paragraphs>
  <TotalTime>34</TotalTime>
  <ScaleCrop>false</ScaleCrop>
  <LinksUpToDate>false</LinksUpToDate>
  <CharactersWithSpaces>11169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2020-08-04T06:49:00Z</dcterms:created>
  <dc:creator>刘佳</dc:creator>
  <cp:lastModifiedBy>江南</cp:lastModifiedBy>
  <cp:lastPrinted>2020-08-04T09:37:00Z</cp:lastPrinted>
  <dcterms:modified xsi:type="dcterms:W3CDTF">2020-08-11T00:59:15Z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