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增加T3航站楼边检执勤区域信息点项目</w:t>
      </w:r>
    </w:p>
    <w:p>
      <w:pPr>
        <w:jc w:val="center"/>
        <w:rPr>
          <w:rFonts w:ascii="仿宋" w:hAnsi="仿宋" w:eastAsia="仿宋"/>
          <w:b/>
          <w:sz w:val="36"/>
          <w:szCs w:val="36"/>
        </w:rPr>
      </w:pPr>
      <w:r>
        <w:rPr>
          <w:rFonts w:hint="eastAsia" w:ascii="仿宋" w:hAnsi="仿宋" w:eastAsia="仿宋"/>
          <w:b/>
          <w:sz w:val="36"/>
          <w:szCs w:val="36"/>
        </w:rPr>
        <w:t>施工部分比选文件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编号：施工2020025</w:t>
      </w:r>
      <w:r>
        <w:rPr>
          <w:rFonts w:ascii="仿宋" w:hAnsi="仿宋" w:eastAsia="仿宋"/>
          <w:b/>
          <w:sz w:val="32"/>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rPr>
        <w:t>增加T3航站楼边检执勤区域信息点项目施工部分比选文件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我司决定于近期将对增加T3航站楼边检执勤区域信息点项目施工部分邀请符合相应条件的施工单位就本项目进行比选。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w:t>
      </w:r>
      <w:r>
        <w:rPr>
          <w:rFonts w:hint="eastAsia" w:ascii="仿宋" w:hAnsi="仿宋" w:eastAsia="仿宋"/>
          <w:b/>
          <w:bCs/>
          <w:sz w:val="28"/>
          <w:szCs w:val="28"/>
        </w:rPr>
        <w:t>本项目不接受联合体投标，不得转包、分包；</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1.1.4公司具有安防工程从业资质三级以上（含三级）证书或电子与智能化工程专业承包贰级以上（含二级）；</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1.2.1.1本项目拟在T3A航站楼边检执勤区域增加信息点和摄像机，包括新增</w:t>
      </w:r>
      <w:r>
        <w:rPr>
          <w:rFonts w:ascii="仿宋" w:hAnsi="仿宋" w:eastAsia="仿宋"/>
          <w:sz w:val="28"/>
          <w:szCs w:val="28"/>
        </w:rPr>
        <w:t>77</w:t>
      </w:r>
      <w:r>
        <w:rPr>
          <w:rFonts w:hint="eastAsia" w:ascii="仿宋" w:hAnsi="仿宋" w:eastAsia="仿宋"/>
          <w:sz w:val="28"/>
          <w:szCs w:val="28"/>
        </w:rPr>
        <w:t>个信息点、</w:t>
      </w:r>
      <w:r>
        <w:rPr>
          <w:rFonts w:ascii="仿宋" w:hAnsi="仿宋" w:eastAsia="仿宋"/>
          <w:sz w:val="28"/>
          <w:szCs w:val="28"/>
        </w:rPr>
        <w:t>5</w:t>
      </w:r>
      <w:r>
        <w:rPr>
          <w:rFonts w:hint="eastAsia" w:ascii="仿宋" w:hAnsi="仿宋" w:eastAsia="仿宋"/>
          <w:sz w:val="28"/>
          <w:szCs w:val="28"/>
        </w:rPr>
        <w:t>台摄像机，强弱电线路敷设、强弱电设备安装调试等工作，确保正常的生产运行。在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（1）本项目涉及航站楼及机场控制区内施工，响应人须组织人员办理相关手续，包括施工许可证、人员通行证件、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rPr>
          <w:rFonts w:hint="eastAsia"/>
        </w:rPr>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本项目最高限价（含增值税）为</w:t>
      </w:r>
      <w:r>
        <w:rPr>
          <w:rFonts w:ascii="仿宋" w:hAnsi="仿宋" w:eastAsia="仿宋"/>
          <w:color w:val="FF0000"/>
          <w:sz w:val="28"/>
          <w:szCs w:val="28"/>
        </w:rPr>
        <w:t>1</w:t>
      </w:r>
      <w:r>
        <w:rPr>
          <w:rFonts w:hint="eastAsia" w:ascii="仿宋" w:hAnsi="仿宋" w:eastAsia="仿宋"/>
          <w:color w:val="FF0000"/>
          <w:sz w:val="28"/>
          <w:szCs w:val="28"/>
        </w:rPr>
        <w:t>0万元（大写：壹拾万元整）报价高于最高限价，将取消比选响应方的比选资格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ind w:firstLine="560" w:firstLineChars="200"/>
        <w:rPr>
          <w:rFonts w:ascii="仿宋" w:hAnsi="仿宋" w:eastAsia="仿宋"/>
          <w:sz w:val="28"/>
          <w:szCs w:val="28"/>
        </w:rPr>
      </w:pPr>
      <w:r>
        <w:rPr>
          <w:rFonts w:hint="eastAsia" w:ascii="仿宋" w:hAnsi="仿宋" w:eastAsia="仿宋"/>
          <w:sz w:val="28"/>
          <w:szCs w:val="28"/>
        </w:rPr>
        <w:t>2.3公司具有安防工程从业资质三级以上（含三级）证书或电子与智能化工程专业承包贰级以上（含二级）；</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rPr>
        <w:t>或电子与智能化工程专业承包贰级以上（含贰级）以及服务承诺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10:30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11:00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11:00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增加T3航站楼边检执勤区域信息点项目</w:t>
      </w:r>
    </w:p>
    <w:p>
      <w:pPr>
        <w:jc w:val="center"/>
        <w:rPr>
          <w:rFonts w:eastAsia="仿宋"/>
        </w:rPr>
      </w:pPr>
      <w:r>
        <w:rPr>
          <w:rFonts w:hint="eastAsia" w:ascii="仿宋" w:hAnsi="仿宋" w:eastAsia="仿宋"/>
          <w:b/>
          <w:sz w:val="36"/>
          <w:szCs w:val="36"/>
        </w:rPr>
        <w:t>施工部分合同</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增加T3航站楼边检执勤区域信息点项目施工部分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增加T3航站楼边检执勤区域信息点项目施工部分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本项目拟在T3</w:t>
      </w:r>
      <w:r>
        <w:rPr>
          <w:rFonts w:ascii="仿宋" w:hAnsi="仿宋" w:eastAsia="仿宋"/>
          <w:sz w:val="28"/>
          <w:szCs w:val="28"/>
        </w:rPr>
        <w:t>A</w:t>
      </w:r>
      <w:r>
        <w:rPr>
          <w:rFonts w:hint="eastAsia" w:ascii="仿宋" w:hAnsi="仿宋" w:eastAsia="仿宋"/>
          <w:sz w:val="28"/>
          <w:szCs w:val="28"/>
        </w:rPr>
        <w:t>航站楼边检执勤区域增加信息点和摄像机，包括新增</w:t>
      </w:r>
      <w:r>
        <w:rPr>
          <w:rFonts w:ascii="仿宋" w:hAnsi="仿宋" w:eastAsia="仿宋"/>
          <w:sz w:val="28"/>
          <w:szCs w:val="28"/>
        </w:rPr>
        <w:t>77</w:t>
      </w:r>
      <w:r>
        <w:rPr>
          <w:rFonts w:hint="eastAsia" w:ascii="仿宋" w:hAnsi="仿宋" w:eastAsia="仿宋"/>
          <w:sz w:val="28"/>
          <w:szCs w:val="28"/>
        </w:rPr>
        <w:t>个信息点、</w:t>
      </w:r>
      <w:r>
        <w:rPr>
          <w:rFonts w:ascii="仿宋" w:hAnsi="仿宋" w:eastAsia="仿宋"/>
          <w:sz w:val="28"/>
          <w:szCs w:val="28"/>
        </w:rPr>
        <w:t>5</w:t>
      </w:r>
      <w:r>
        <w:rPr>
          <w:rFonts w:hint="eastAsia" w:ascii="仿宋" w:hAnsi="仿宋" w:eastAsia="仿宋"/>
          <w:sz w:val="28"/>
          <w:szCs w:val="28"/>
        </w:rPr>
        <w:t>台摄像机，强弱电线路敷设、强弱电设备安装调试等工作，确保正常的生产运行。在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七</w:t>
      </w:r>
      <w:r>
        <w:rPr>
          <w:rFonts w:hint="eastAsia" w:ascii="仿宋" w:hAnsi="仿宋" w:eastAsia="仿宋" w:cs="仿宋"/>
          <w:szCs w:val="28"/>
        </w:rPr>
        <w:t>、保修及售后服务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bookmarkStart w:id="1" w:name="_GoBack"/>
      <w:r>
        <w:rPr>
          <w:rFonts w:hint="eastAsia" w:ascii="宋体" w:hAnsi="宋体" w:cs="宋体"/>
          <w:sz w:val="28"/>
          <w:szCs w:val="28"/>
          <w:lang w:eastAsia="zh-CN"/>
        </w:rPr>
        <w:t>八</w:t>
      </w:r>
      <w:r>
        <w:rPr>
          <w:rFonts w:hint="eastAsia" w:ascii="宋体" w:hAnsi="宋体" w:cs="宋体"/>
          <w:sz w:val="28"/>
          <w:szCs w:val="28"/>
        </w:rPr>
        <w:t>、</w:t>
      </w:r>
      <w:r>
        <w:rPr>
          <w:rFonts w:hint="eastAsia" w:ascii="宋体" w:hAnsi="宋体"/>
          <w:sz w:val="28"/>
          <w:szCs w:val="28"/>
        </w:rPr>
        <w:t>工程变更</w:t>
      </w:r>
    </w:p>
    <w:p>
      <w:pPr>
        <w:pStyle w:val="10"/>
        <w:keepNext w:val="0"/>
        <w:keepLines w:val="0"/>
        <w:pageBreakBefore w:val="0"/>
        <w:widowControl w:val="0"/>
        <w:kinsoku/>
        <w:wordWrap/>
        <w:overflowPunct/>
        <w:topLinePunct w:val="0"/>
        <w:autoSpaceDE/>
        <w:autoSpaceDN/>
        <w:bidi w:val="0"/>
        <w:adjustRightInd/>
        <w:snapToGrid/>
        <w:spacing w:before="0" w:after="0"/>
        <w:ind w:firstLine="561"/>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工程量变更在总价款10%（含）以上的须经甲方审定，按审定后相关手续办理结算；变更费用在总价款10%以下的由乙方自行承担。</w:t>
      </w:r>
    </w:p>
    <w:p>
      <w:pPr>
        <w:pStyle w:val="10"/>
        <w:keepNext w:val="0"/>
        <w:keepLines w:val="0"/>
        <w:pageBreakBefore w:val="0"/>
        <w:widowControl w:val="0"/>
        <w:kinsoku/>
        <w:wordWrap/>
        <w:overflowPunct/>
        <w:topLinePunct w:val="0"/>
        <w:autoSpaceDE/>
        <w:autoSpaceDN/>
        <w:bidi w:val="0"/>
        <w:adjustRightInd/>
        <w:snapToGrid/>
        <w:spacing w:before="0" w:after="0"/>
        <w:ind w:firstLine="561"/>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变更只能由发包人或监理人发起，承包人不得随意进行变更，承包人必须无条件接受并实施，变更估价参照结算标准文件</w:t>
      </w:r>
      <w:r>
        <w:rPr>
          <w:rFonts w:hint="eastAsia" w:ascii="仿宋" w:hAnsi="仿宋" w:eastAsia="仿宋" w:cs="仿宋"/>
          <w:b w:val="0"/>
          <w:bCs w:val="0"/>
          <w:sz w:val="28"/>
          <w:szCs w:val="28"/>
          <w:lang w:eastAsia="zh-CN"/>
        </w:rPr>
        <w:t>。</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九</w:t>
      </w:r>
      <w:r>
        <w:rPr>
          <w:rFonts w:hint="eastAsia" w:ascii="仿宋" w:hAnsi="仿宋" w:eastAsia="仿宋" w:cs="仿宋"/>
          <w:szCs w:val="28"/>
        </w:rPr>
        <w:t>、双方责任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bookmarkEnd w:id="1"/>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增加T3航站楼边检执勤区域信息点项目施工部分清单</w:t>
      </w:r>
    </w:p>
    <w:p>
      <w:pPr>
        <w:snapToGrid w:val="0"/>
        <w:spacing w:line="360" w:lineRule="auto"/>
        <w:jc w:val="center"/>
      </w:pPr>
    </w:p>
    <w:tbl>
      <w:tblPr>
        <w:tblStyle w:val="11"/>
        <w:tblW w:w="8522" w:type="dxa"/>
        <w:jc w:val="center"/>
        <w:tblInd w:w="0" w:type="dxa"/>
        <w:tblLayout w:type="fixed"/>
        <w:tblCellMar>
          <w:top w:w="0" w:type="dxa"/>
          <w:left w:w="108" w:type="dxa"/>
          <w:bottom w:w="0" w:type="dxa"/>
          <w:right w:w="108" w:type="dxa"/>
        </w:tblCellMar>
      </w:tblPr>
      <w:tblGrid>
        <w:gridCol w:w="529"/>
        <w:gridCol w:w="1725"/>
        <w:gridCol w:w="1566"/>
        <w:gridCol w:w="1113"/>
        <w:gridCol w:w="1288"/>
        <w:gridCol w:w="529"/>
        <w:gridCol w:w="1772"/>
      </w:tblGrid>
      <w:tr>
        <w:tblPrEx>
          <w:tblLayout w:type="fixed"/>
          <w:tblCellMar>
            <w:top w:w="0" w:type="dxa"/>
            <w:left w:w="108" w:type="dxa"/>
            <w:bottom w:w="0" w:type="dxa"/>
            <w:right w:w="108" w:type="dxa"/>
          </w:tblCellMar>
        </w:tblPrEx>
        <w:trPr>
          <w:trHeight w:val="270" w:hRule="atLeast"/>
          <w:jc w:val="center"/>
        </w:trPr>
        <w:tc>
          <w:tcPr>
            <w:tcW w:w="52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7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材料名称</w:t>
            </w:r>
          </w:p>
        </w:tc>
        <w:tc>
          <w:tcPr>
            <w:tcW w:w="156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1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单价控制价</w:t>
            </w:r>
          </w:p>
          <w:p>
            <w:pPr>
              <w:widowControl/>
              <w:jc w:val="center"/>
              <w:rPr>
                <w:rFonts w:ascii="宋体" w:hAnsi="宋体" w:cs="宋体"/>
                <w:kern w:val="0"/>
                <w:sz w:val="18"/>
                <w:szCs w:val="18"/>
              </w:rPr>
            </w:pPr>
            <w:r>
              <w:rPr>
                <w:rFonts w:hint="eastAsia" w:ascii="宋体" w:hAnsi="宋体" w:cs="宋体"/>
                <w:b/>
                <w:bCs/>
                <w:kern w:val="0"/>
                <w:sz w:val="18"/>
                <w:szCs w:val="18"/>
              </w:rPr>
              <w:t>（元）（含税）</w:t>
            </w:r>
          </w:p>
        </w:tc>
        <w:tc>
          <w:tcPr>
            <w:tcW w:w="529"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772"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25"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美国西蒙六类信息插座</w:t>
            </w:r>
          </w:p>
        </w:tc>
        <w:tc>
          <w:tcPr>
            <w:tcW w:w="156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MX6-F01VP</w:t>
            </w:r>
          </w:p>
        </w:tc>
        <w:tc>
          <w:tcPr>
            <w:tcW w:w="111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1288" w:type="dxa"/>
            <w:vMerge w:val="restart"/>
            <w:tcBorders>
              <w:top w:val="nil"/>
              <w:left w:val="nil"/>
              <w:right w:val="single" w:color="auto" w:sz="4" w:space="0"/>
            </w:tcBorders>
            <w:shd w:val="clear" w:color="FFFFFF" w:fill="FFFFFF"/>
            <w:vAlign w:val="center"/>
          </w:tcPr>
          <w:p>
            <w:pPr>
              <w:widowControl/>
              <w:jc w:val="center"/>
              <w:rPr>
                <w:rFonts w:ascii="宋体" w:hAnsi="宋体" w:cs="宋体"/>
                <w:kern w:val="0"/>
                <w:sz w:val="18"/>
                <w:szCs w:val="18"/>
              </w:rPr>
            </w:pPr>
            <w:r>
              <w:rPr>
                <w:sz w:val="18"/>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7620</wp:posOffset>
                      </wp:positionV>
                      <wp:extent cx="781050" cy="2000250"/>
                      <wp:effectExtent l="4445" t="1905" r="14605" b="17145"/>
                      <wp:wrapNone/>
                      <wp:docPr id="4" name="直接连接符 4"/>
                      <wp:cNvGraphicFramePr/>
                      <a:graphic xmlns:a="http://schemas.openxmlformats.org/drawingml/2006/main">
                        <a:graphicData uri="http://schemas.microsoft.com/office/word/2010/wordprocessingShape">
                          <wps:wsp>
                            <wps:cNvCnPr/>
                            <wps:spPr>
                              <a:xfrm>
                                <a:off x="4228465" y="2301240"/>
                                <a:ext cx="781050"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5pt;margin-top:0.6pt;height:157.5pt;width:61.5pt;z-index:251658240;mso-width-relative:page;mso-height-relative:page;" filled="f" stroked="t" coordsize="21600,21600" o:gfxdata="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8RZP9cAAAAI&#10;AQAADwAAAAAAAAABACAAAAAiAAAAZHJzL2Rvd25yZXYueG1sUEsBAhQAFAAAAAgAh07iQF2iCCnk&#10;AQAAlgMAAA4AAAAAAAAAAQAgAAAAJgEAAGRycy9lMm9Eb2MueG1sUEsFBgAAAAAGAAYAWQEAAHwF&#10;AAAAAA==&#10;">
                      <v:fill on="f" focussize="0,0"/>
                      <v:stroke color="#000000 [3200]" joinstyle="round"/>
                      <v:imagedata o:title=""/>
                      <o:lock v:ext="edit" aspectratio="f"/>
                    </v:line>
                  </w:pict>
                </mc:Fallback>
              </mc:AlternateContent>
            </w:r>
          </w:p>
        </w:tc>
        <w:tc>
          <w:tcPr>
            <w:tcW w:w="52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27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25"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美国西蒙线管理器</w:t>
            </w:r>
          </w:p>
        </w:tc>
        <w:tc>
          <w:tcPr>
            <w:tcW w:w="156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S110-RWM-01</w:t>
            </w:r>
          </w:p>
        </w:tc>
        <w:tc>
          <w:tcPr>
            <w:tcW w:w="111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88" w:type="dxa"/>
            <w:vMerge w:val="continue"/>
            <w:tcBorders>
              <w:left w:val="nil"/>
              <w:right w:val="single" w:color="auto" w:sz="4" w:space="0"/>
            </w:tcBorders>
            <w:shd w:val="clear" w:color="FFFFFF" w:fill="FFFFFF"/>
            <w:vAlign w:val="center"/>
          </w:tcPr>
          <w:p>
            <w:pPr>
              <w:widowControl/>
              <w:jc w:val="center"/>
              <w:rPr>
                <w:rFonts w:ascii="宋体" w:hAnsi="宋体" w:cs="宋体"/>
                <w:kern w:val="0"/>
                <w:sz w:val="18"/>
                <w:szCs w:val="18"/>
              </w:rPr>
            </w:pPr>
          </w:p>
        </w:tc>
        <w:tc>
          <w:tcPr>
            <w:tcW w:w="52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25"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美国西蒙双口面板</w:t>
            </w:r>
          </w:p>
        </w:tc>
        <w:tc>
          <w:tcPr>
            <w:tcW w:w="156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MX-BFPL-02-82M</w:t>
            </w:r>
          </w:p>
        </w:tc>
        <w:tc>
          <w:tcPr>
            <w:tcW w:w="111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1288" w:type="dxa"/>
            <w:vMerge w:val="continue"/>
            <w:tcBorders>
              <w:left w:val="nil"/>
              <w:right w:val="single" w:color="auto" w:sz="4" w:space="0"/>
            </w:tcBorders>
            <w:shd w:val="clear" w:color="FFFFFF" w:fill="FFFFFF"/>
            <w:vAlign w:val="center"/>
          </w:tcPr>
          <w:p>
            <w:pPr>
              <w:widowControl/>
              <w:jc w:val="center"/>
              <w:rPr>
                <w:rFonts w:ascii="宋体" w:hAnsi="宋体" w:cs="宋体"/>
                <w:kern w:val="0"/>
                <w:sz w:val="18"/>
                <w:szCs w:val="18"/>
              </w:rPr>
            </w:pPr>
          </w:p>
        </w:tc>
        <w:tc>
          <w:tcPr>
            <w:tcW w:w="52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25"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美国西蒙六类网络配线架</w:t>
            </w:r>
          </w:p>
        </w:tc>
        <w:tc>
          <w:tcPr>
            <w:tcW w:w="156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HD6-24</w:t>
            </w:r>
          </w:p>
        </w:tc>
        <w:tc>
          <w:tcPr>
            <w:tcW w:w="111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88" w:type="dxa"/>
            <w:vMerge w:val="continue"/>
            <w:tcBorders>
              <w:left w:val="nil"/>
              <w:right w:val="single" w:color="auto" w:sz="4" w:space="0"/>
            </w:tcBorders>
            <w:shd w:val="clear" w:color="FFFFFF" w:fill="FFFFFF"/>
            <w:vAlign w:val="center"/>
          </w:tcPr>
          <w:p>
            <w:pPr>
              <w:widowControl/>
              <w:jc w:val="center"/>
              <w:rPr>
                <w:rFonts w:ascii="宋体" w:hAnsi="宋体" w:cs="宋体"/>
                <w:kern w:val="0"/>
                <w:sz w:val="18"/>
                <w:szCs w:val="18"/>
              </w:rPr>
            </w:pPr>
          </w:p>
        </w:tc>
        <w:tc>
          <w:tcPr>
            <w:tcW w:w="52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架</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25"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哈工大摄像机</w:t>
            </w:r>
          </w:p>
        </w:tc>
        <w:tc>
          <w:tcPr>
            <w:tcW w:w="156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HRG-IPC-D-F1027</w:t>
            </w:r>
          </w:p>
        </w:tc>
        <w:tc>
          <w:tcPr>
            <w:tcW w:w="111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88" w:type="dxa"/>
            <w:vMerge w:val="continue"/>
            <w:tcBorders>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p>
        </w:tc>
        <w:tc>
          <w:tcPr>
            <w:tcW w:w="52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27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广州一通镀锌钢管</w:t>
            </w:r>
          </w:p>
        </w:tc>
        <w:tc>
          <w:tcPr>
            <w:tcW w:w="1566"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DN20</w:t>
            </w:r>
          </w:p>
        </w:tc>
        <w:tc>
          <w:tcPr>
            <w:tcW w:w="1113" w:type="dxa"/>
            <w:vMerge w:val="restart"/>
            <w:tcBorders>
              <w:top w:val="single" w:color="000000" w:sz="4" w:space="0"/>
              <w:left w:val="nil"/>
              <w:right w:val="single" w:color="000000" w:sz="4" w:space="0"/>
            </w:tcBorders>
            <w:shd w:val="clear" w:color="FFFFFF"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kern w:val="0"/>
                <w:sz w:val="18"/>
                <w:szCs w:val="18"/>
              </w:rPr>
              <w:t xml:space="preserve"> </w:t>
            </w:r>
            <w:r>
              <w:rPr>
                <w:rFonts w:hint="eastAsia" w:ascii="宋体" w:hAnsi="宋体" w:cs="宋体"/>
                <w:color w:val="000000"/>
                <w:kern w:val="0"/>
                <w:szCs w:val="21"/>
                <w:lang w:bidi="ar"/>
              </w:rPr>
              <w:t>详见施工图</w:t>
            </w:r>
          </w:p>
          <w:p>
            <w:pPr>
              <w:widowControl/>
              <w:jc w:val="center"/>
              <w:rPr>
                <w:rFonts w:ascii="宋体" w:hAnsi="宋体" w:cs="宋体"/>
                <w:kern w:val="0"/>
                <w:sz w:val="18"/>
                <w:szCs w:val="18"/>
              </w:rPr>
            </w:pPr>
          </w:p>
        </w:tc>
        <w:tc>
          <w:tcPr>
            <w:tcW w:w="12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4.59</w:t>
            </w:r>
          </w:p>
        </w:tc>
        <w:tc>
          <w:tcPr>
            <w:tcW w:w="529"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77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5"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美国西蒙六类双绞线缆</w:t>
            </w:r>
          </w:p>
        </w:tc>
        <w:tc>
          <w:tcPr>
            <w:tcW w:w="156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9C6M4-E3-RXA</w:t>
            </w:r>
          </w:p>
        </w:tc>
        <w:tc>
          <w:tcPr>
            <w:tcW w:w="1113" w:type="dxa"/>
            <w:vMerge w:val="continue"/>
            <w:tcBorders>
              <w:left w:val="nil"/>
              <w:right w:val="single" w:color="000000" w:sz="4" w:space="0"/>
            </w:tcBorders>
            <w:shd w:val="clear" w:color="FFFFFF" w:fill="FFFFFF"/>
            <w:vAlign w:val="center"/>
          </w:tcPr>
          <w:p>
            <w:pPr>
              <w:widowControl/>
              <w:jc w:val="center"/>
              <w:rPr>
                <w:rFonts w:ascii="宋体" w:hAnsi="宋体" w:cs="宋体"/>
                <w:kern w:val="0"/>
                <w:sz w:val="18"/>
                <w:szCs w:val="18"/>
              </w:rPr>
            </w:pPr>
          </w:p>
        </w:tc>
        <w:tc>
          <w:tcPr>
            <w:tcW w:w="128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3.11</w:t>
            </w:r>
          </w:p>
        </w:tc>
        <w:tc>
          <w:tcPr>
            <w:tcW w:w="5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7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7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5"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顾地塑料线槽</w:t>
            </w:r>
          </w:p>
        </w:tc>
        <w:tc>
          <w:tcPr>
            <w:tcW w:w="156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40*60</w:t>
            </w:r>
          </w:p>
        </w:tc>
        <w:tc>
          <w:tcPr>
            <w:tcW w:w="1113" w:type="dxa"/>
            <w:vMerge w:val="continue"/>
            <w:tcBorders>
              <w:left w:val="nil"/>
              <w:right w:val="single" w:color="000000" w:sz="4" w:space="0"/>
            </w:tcBorders>
            <w:shd w:val="clear" w:color="FFFFFF" w:fill="FFFFFF"/>
            <w:vAlign w:val="center"/>
          </w:tcPr>
          <w:p>
            <w:pPr>
              <w:widowControl/>
              <w:jc w:val="center"/>
              <w:rPr>
                <w:rFonts w:ascii="宋体" w:hAnsi="宋体" w:cs="宋体"/>
                <w:kern w:val="0"/>
                <w:sz w:val="18"/>
                <w:szCs w:val="18"/>
              </w:rPr>
            </w:pPr>
          </w:p>
        </w:tc>
        <w:tc>
          <w:tcPr>
            <w:tcW w:w="128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5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7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7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5"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顾地塑料线槽</w:t>
            </w:r>
          </w:p>
        </w:tc>
        <w:tc>
          <w:tcPr>
            <w:tcW w:w="156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39*19</w:t>
            </w:r>
          </w:p>
        </w:tc>
        <w:tc>
          <w:tcPr>
            <w:tcW w:w="1113" w:type="dxa"/>
            <w:vMerge w:val="continue"/>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p>
        </w:tc>
        <w:tc>
          <w:tcPr>
            <w:tcW w:w="128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7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bl>
    <w:p>
      <w:pPr>
        <w:pStyle w:val="10"/>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20年月日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20</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C7D"/>
    <w:rsid w:val="00FF5E49"/>
    <w:rsid w:val="01626FAB"/>
    <w:rsid w:val="018E717F"/>
    <w:rsid w:val="0231616E"/>
    <w:rsid w:val="0255220C"/>
    <w:rsid w:val="031D02FD"/>
    <w:rsid w:val="03291F53"/>
    <w:rsid w:val="04456BAA"/>
    <w:rsid w:val="04825AE2"/>
    <w:rsid w:val="04B87E1F"/>
    <w:rsid w:val="04CC1BF4"/>
    <w:rsid w:val="052B1F8E"/>
    <w:rsid w:val="056D7425"/>
    <w:rsid w:val="05E9339C"/>
    <w:rsid w:val="070B5040"/>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9537C46"/>
    <w:rsid w:val="1A051862"/>
    <w:rsid w:val="1B2E65BD"/>
    <w:rsid w:val="1B974FA1"/>
    <w:rsid w:val="1BCC4A07"/>
    <w:rsid w:val="1BF811C2"/>
    <w:rsid w:val="1C2D30C9"/>
    <w:rsid w:val="1C753B32"/>
    <w:rsid w:val="1D0B0229"/>
    <w:rsid w:val="1D367ABA"/>
    <w:rsid w:val="1D9D4DAC"/>
    <w:rsid w:val="1DB200C1"/>
    <w:rsid w:val="1DC47F34"/>
    <w:rsid w:val="1E1C1D03"/>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87463D"/>
    <w:rsid w:val="302C4855"/>
    <w:rsid w:val="30DF00B9"/>
    <w:rsid w:val="31475B3B"/>
    <w:rsid w:val="3164480A"/>
    <w:rsid w:val="31774A4C"/>
    <w:rsid w:val="31B61F93"/>
    <w:rsid w:val="31E1150F"/>
    <w:rsid w:val="32063F82"/>
    <w:rsid w:val="32FC74ED"/>
    <w:rsid w:val="33414962"/>
    <w:rsid w:val="33A83146"/>
    <w:rsid w:val="33BD425B"/>
    <w:rsid w:val="3406744F"/>
    <w:rsid w:val="343F5A62"/>
    <w:rsid w:val="34540A72"/>
    <w:rsid w:val="34AF191E"/>
    <w:rsid w:val="35431B6D"/>
    <w:rsid w:val="35612C02"/>
    <w:rsid w:val="366D2DC4"/>
    <w:rsid w:val="36A23D94"/>
    <w:rsid w:val="3701322D"/>
    <w:rsid w:val="37AF7F80"/>
    <w:rsid w:val="37CD60F4"/>
    <w:rsid w:val="38452E79"/>
    <w:rsid w:val="3902632F"/>
    <w:rsid w:val="396D0EDD"/>
    <w:rsid w:val="39746765"/>
    <w:rsid w:val="39C3402A"/>
    <w:rsid w:val="39C851B2"/>
    <w:rsid w:val="3A027ADD"/>
    <w:rsid w:val="3A707CF3"/>
    <w:rsid w:val="3B4D4C41"/>
    <w:rsid w:val="3B7D36DC"/>
    <w:rsid w:val="3B807047"/>
    <w:rsid w:val="3C2D7031"/>
    <w:rsid w:val="3C366EFC"/>
    <w:rsid w:val="3C5E002E"/>
    <w:rsid w:val="3CD27AA2"/>
    <w:rsid w:val="3CFB3601"/>
    <w:rsid w:val="3D2C23E4"/>
    <w:rsid w:val="3D595FF5"/>
    <w:rsid w:val="3D7B47E5"/>
    <w:rsid w:val="3D8B05AE"/>
    <w:rsid w:val="3D9B6B8B"/>
    <w:rsid w:val="3E24366B"/>
    <w:rsid w:val="3ED009AC"/>
    <w:rsid w:val="3F0D7CDD"/>
    <w:rsid w:val="3F4803E7"/>
    <w:rsid w:val="3F7159AE"/>
    <w:rsid w:val="3FE9568A"/>
    <w:rsid w:val="4024247A"/>
    <w:rsid w:val="40337E3E"/>
    <w:rsid w:val="409D1622"/>
    <w:rsid w:val="41546156"/>
    <w:rsid w:val="41735E90"/>
    <w:rsid w:val="41B44A84"/>
    <w:rsid w:val="41D84ABF"/>
    <w:rsid w:val="42D726B4"/>
    <w:rsid w:val="430F12A4"/>
    <w:rsid w:val="43802519"/>
    <w:rsid w:val="445739F1"/>
    <w:rsid w:val="44883A2A"/>
    <w:rsid w:val="44B60A26"/>
    <w:rsid w:val="44E7475E"/>
    <w:rsid w:val="451F1C26"/>
    <w:rsid w:val="45A40385"/>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DF544F"/>
    <w:rsid w:val="4C690F51"/>
    <w:rsid w:val="4CE65ADB"/>
    <w:rsid w:val="4CF8695E"/>
    <w:rsid w:val="4D840CC9"/>
    <w:rsid w:val="4E875C30"/>
    <w:rsid w:val="4ECE6B96"/>
    <w:rsid w:val="4EE10224"/>
    <w:rsid w:val="4EE16F7C"/>
    <w:rsid w:val="4EFC569E"/>
    <w:rsid w:val="4F224A3F"/>
    <w:rsid w:val="4FC3653A"/>
    <w:rsid w:val="501F3EC0"/>
    <w:rsid w:val="514A62F0"/>
    <w:rsid w:val="516E49FC"/>
    <w:rsid w:val="521C4028"/>
    <w:rsid w:val="524B76AA"/>
    <w:rsid w:val="535D391A"/>
    <w:rsid w:val="54627A6B"/>
    <w:rsid w:val="547A4D40"/>
    <w:rsid w:val="5495685F"/>
    <w:rsid w:val="5549024F"/>
    <w:rsid w:val="55560FA6"/>
    <w:rsid w:val="55DD0E0B"/>
    <w:rsid w:val="56891B3D"/>
    <w:rsid w:val="569701F1"/>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5974BC9"/>
    <w:rsid w:val="659C69F6"/>
    <w:rsid w:val="65B45D8A"/>
    <w:rsid w:val="65C02815"/>
    <w:rsid w:val="6668068C"/>
    <w:rsid w:val="666E718E"/>
    <w:rsid w:val="667A2B1C"/>
    <w:rsid w:val="669C16D0"/>
    <w:rsid w:val="66E533A8"/>
    <w:rsid w:val="66E62177"/>
    <w:rsid w:val="6756488B"/>
    <w:rsid w:val="6763650B"/>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5A7815"/>
    <w:rsid w:val="70AE598C"/>
    <w:rsid w:val="71006660"/>
    <w:rsid w:val="711F706B"/>
    <w:rsid w:val="717B7311"/>
    <w:rsid w:val="72313BEB"/>
    <w:rsid w:val="729C170B"/>
    <w:rsid w:val="72B810DA"/>
    <w:rsid w:val="72CA408F"/>
    <w:rsid w:val="72E77EC9"/>
    <w:rsid w:val="72E87AAC"/>
    <w:rsid w:val="731449C2"/>
    <w:rsid w:val="731B79C0"/>
    <w:rsid w:val="73E16F0A"/>
    <w:rsid w:val="7455718B"/>
    <w:rsid w:val="757540F8"/>
    <w:rsid w:val="75D1083E"/>
    <w:rsid w:val="75EF1748"/>
    <w:rsid w:val="76361480"/>
    <w:rsid w:val="766A4AC8"/>
    <w:rsid w:val="76800D33"/>
    <w:rsid w:val="768E4560"/>
    <w:rsid w:val="76BC03FB"/>
    <w:rsid w:val="76BD3ADF"/>
    <w:rsid w:val="770F2826"/>
    <w:rsid w:val="77A63DA0"/>
    <w:rsid w:val="780B4C8D"/>
    <w:rsid w:val="78A85B36"/>
    <w:rsid w:val="792B1445"/>
    <w:rsid w:val="79950D5B"/>
    <w:rsid w:val="79E977E8"/>
    <w:rsid w:val="7A5417AD"/>
    <w:rsid w:val="7A792170"/>
    <w:rsid w:val="7ADF58D4"/>
    <w:rsid w:val="7B1272C3"/>
    <w:rsid w:val="7B354998"/>
    <w:rsid w:val="7C2D6226"/>
    <w:rsid w:val="7C2E4D8F"/>
    <w:rsid w:val="7C6939A2"/>
    <w:rsid w:val="7C9532D9"/>
    <w:rsid w:val="7D1A0CD2"/>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9DD21-C3DA-4643-A567-BB308DA9CC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1768</Words>
  <Characters>10078</Characters>
  <Lines>83</Lines>
  <Paragraphs>23</Paragraphs>
  <TotalTime>57</TotalTime>
  <ScaleCrop>false</ScaleCrop>
  <LinksUpToDate>false</LinksUpToDate>
  <CharactersWithSpaces>11823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2020-07-31T03:04:08Z</cp:lastPrinted>
  <dcterms:modified xsi:type="dcterms:W3CDTF">2020-07-31T03:09:34Z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