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宋体" w:hAnsi="宋体"/>
          <w:color w:val="auto"/>
          <w:kern w:val="2"/>
          <w:sz w:val="32"/>
          <w:szCs w:val="32"/>
          <w:lang w:eastAsia="zh-CN"/>
        </w:rPr>
      </w:pPr>
      <w:r>
        <w:rPr>
          <w:rFonts w:hint="eastAsia" w:ascii="宋体" w:hAnsi="宋体"/>
          <w:color w:val="auto"/>
          <w:kern w:val="2"/>
          <w:sz w:val="32"/>
          <w:szCs w:val="32"/>
          <w:lang w:eastAsia="zh-CN"/>
        </w:rPr>
        <w:t>重庆江北国际机场T2、T3A航站楼、综合交通枢纽（GTC）</w:t>
      </w:r>
    </w:p>
    <w:p>
      <w:pPr>
        <w:pStyle w:val="2"/>
        <w:spacing w:before="0" w:after="0" w:line="360" w:lineRule="auto"/>
        <w:jc w:val="center"/>
        <w:rPr>
          <w:rFonts w:ascii="宋体" w:hAnsi="宋体"/>
          <w:color w:val="auto"/>
          <w:kern w:val="2"/>
          <w:sz w:val="32"/>
          <w:szCs w:val="32"/>
          <w:lang w:eastAsia="zh-CN"/>
        </w:rPr>
      </w:pPr>
      <w:r>
        <w:rPr>
          <w:rFonts w:hint="eastAsia" w:ascii="宋体" w:hAnsi="宋体"/>
          <w:color w:val="auto"/>
          <w:kern w:val="2"/>
          <w:sz w:val="32"/>
          <w:szCs w:val="32"/>
          <w:lang w:eastAsia="zh-CN"/>
        </w:rPr>
        <w:t xml:space="preserve">商业资源招商公告 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bookmarkStart w:id="0" w:name="OLE_LINK4"/>
    </w:p>
    <w:bookmarkEnd w:id="0"/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bCs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eastAsia="zh-CN"/>
        </w:rPr>
        <w:t>为提升服务功能、挖掘资源价值，拟对重庆机场商业资源进行公开招商。现诚意邀请有意向、符合本次招商准入条件的经营商参加本项目的招商。</w:t>
      </w:r>
    </w:p>
    <w:p>
      <w:pPr>
        <w:spacing w:line="360" w:lineRule="auto"/>
        <w:ind w:firstLine="402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  <w:t>一、项目名称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重庆江北国际机场T2、T3A航站楼、综合交通枢纽（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GTC）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商业资源招商项目。</w:t>
      </w:r>
    </w:p>
    <w:p>
      <w:pPr>
        <w:spacing w:line="360" w:lineRule="auto"/>
        <w:ind w:firstLine="402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  <w:t>二、项目简介</w:t>
      </w:r>
      <w:r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  <w:t xml:space="preserve"> 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bCs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eastAsia="zh-CN"/>
        </w:rPr>
        <w:t>重庆江北国际机场是全国性大型枢纽机场。拥有长度分别为</w:t>
      </w:r>
      <w:r>
        <w:rPr>
          <w:rFonts w:asciiTheme="minorEastAsia" w:hAnsiTheme="minorEastAsia" w:eastAsiaTheme="minorEastAsia" w:cstheme="minorEastAsia"/>
          <w:bCs/>
          <w:sz w:val="20"/>
          <w:szCs w:val="20"/>
          <w:lang w:eastAsia="zh-CN"/>
        </w:rPr>
        <w:t>3200米、3600米、3800米的三条跑道，166万平方米的停机坪，178个停机位，73万平方米的航站楼和23万平方米的航空货站，飞行区等级为4F级，是中国中西部地区首个拥有三座航站楼、实现三条跑道同时运行的机场，可起降空客A380等大型客机，能满足年旅客吞吐量4500万人次、货邮吞吐量110万吨、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eastAsia="zh-CN"/>
        </w:rPr>
        <w:t>年飞机起降</w:t>
      </w:r>
      <w:r>
        <w:rPr>
          <w:rFonts w:asciiTheme="minorEastAsia" w:hAnsiTheme="minorEastAsia" w:eastAsiaTheme="minorEastAsia" w:cstheme="minorEastAsia"/>
          <w:bCs/>
          <w:sz w:val="20"/>
          <w:szCs w:val="20"/>
          <w:lang w:eastAsia="zh-CN"/>
        </w:rPr>
        <w:t>37.3万架次的运行需要。同时，拥有集城际铁路、轨道交通、长途汽车、公交车、出租车、社会车辆等多种交通方式于一体的35万平方米的综合交通枢纽，实现空地、空轨、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eastAsia="zh-CN"/>
        </w:rPr>
        <w:t>空铁的无缝衔接和零距离换乘，提供高效便捷的综合交通运输服务。重庆江北国际机场</w:t>
      </w:r>
      <w:r>
        <w:rPr>
          <w:rFonts w:asciiTheme="minorEastAsia" w:hAnsiTheme="minorEastAsia" w:eastAsiaTheme="minorEastAsia" w:cstheme="minorEastAsia"/>
          <w:bCs/>
          <w:sz w:val="20"/>
          <w:szCs w:val="20"/>
          <w:lang w:eastAsia="zh-CN"/>
        </w:rPr>
        <w:t>2018年旅客吞吐量达到4159.5万人次、货邮吞吐量38.2万吨、飞机起降30万架次，旅客吞吐量全国排名第九位。2019年，重庆江北国际机场旅客吞吐量预计将突破4400万人次，有望迈入全球机场50强行列。</w:t>
      </w:r>
    </w:p>
    <w:p>
      <w:pPr>
        <w:spacing w:line="360" w:lineRule="auto"/>
        <w:ind w:firstLine="426" w:firstLineChars="213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本次招商项目包括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T2航站楼、T3A航站楼、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综合交通枢纽（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GTC）零售、餐饮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、嘉宾餐饮、休闲等业态共计31个标段，面积约5000平方米，标段详细信息如下：</w:t>
      </w:r>
    </w:p>
    <w:p>
      <w:pPr>
        <w:spacing w:line="360" w:lineRule="auto"/>
        <w:rPr>
          <w:rFonts w:asciiTheme="minorEastAsia" w:hAnsiTheme="minorEastAsia" w:eastAsiaTheme="minorEastAsia"/>
          <w:b/>
          <w:bCs/>
          <w:sz w:val="20"/>
          <w:szCs w:val="20"/>
          <w:lang w:eastAsia="zh-CN"/>
        </w:rPr>
      </w:pPr>
      <w:bookmarkStart w:id="1" w:name="_Hlk24966446"/>
      <w:r>
        <w:rPr>
          <w:rFonts w:hint="eastAsia" w:asciiTheme="minorEastAsia" w:hAnsiTheme="minorEastAsia" w:eastAsiaTheme="minorEastAsia"/>
          <w:b/>
          <w:bCs/>
          <w:sz w:val="20"/>
          <w:szCs w:val="20"/>
          <w:lang w:eastAsia="zh-CN"/>
        </w:rPr>
        <w:t>（一）餐饮（7个标段）</w:t>
      </w:r>
    </w:p>
    <w:tbl>
      <w:tblPr>
        <w:tblStyle w:val="9"/>
        <w:tblW w:w="97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708"/>
        <w:gridCol w:w="851"/>
        <w:gridCol w:w="850"/>
        <w:gridCol w:w="851"/>
        <w:gridCol w:w="2268"/>
        <w:gridCol w:w="1984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招商类别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标段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编号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航站楼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位置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面积（㎡）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经营范围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经营主要产品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准入类别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品牌连锁餐饮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L3C24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T3A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F指廊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175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品牌连锁餐饮组合店</w:t>
            </w:r>
          </w:p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（3个及3个以上品牌组合，不含快餐）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特色小吃、饮料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L3D21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T3A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G指廊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175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品牌连锁餐饮组合店</w:t>
            </w:r>
          </w:p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（3个及3个以上品牌组合，不含快餐）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特色小吃、饮料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L42AR61B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T2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T2A出发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492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品牌连锁餐饮组合店</w:t>
            </w:r>
          </w:p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（国内特色餐饮、网红餐饮品牌组合，以排挡形式经营，排挡及品牌不少于5个，其中至少1个品牌是川渝品牌，不含快餐）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正餐、简餐、小吃、饮品，提供员工餐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招商类别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标段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编号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航站楼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位置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面积（㎡）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经营范围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经营主要产品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准入类别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品牌连锁餐饮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四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L3E16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T3A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E指廊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227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品牌连锁餐饮组合店</w:t>
            </w:r>
          </w:p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（2个及2个以上品牌组合）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国内特色品牌（川渝地区品牌除外）、网红饮品店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国际品牌餐饮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五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L3C10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T3A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F指廊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187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国际品牌连锁餐饮店</w:t>
            </w:r>
          </w:p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（不含快餐）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正餐、简餐、轻食、饮品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L1E02A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T3A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T3A国际到达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国际品牌连锁快餐店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快餐、饮品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L12AF73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T2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T2A到达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340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国际品牌连锁快餐店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快餐、饮品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B</w:t>
            </w:r>
          </w:p>
        </w:tc>
      </w:tr>
    </w:tbl>
    <w:p>
      <w:pPr>
        <w:spacing w:line="360" w:lineRule="auto"/>
        <w:ind w:firstLine="402" w:firstLineChars="200"/>
        <w:rPr>
          <w:rFonts w:asciiTheme="minorEastAsia" w:hAnsiTheme="minorEastAsia" w:eastAsiaTheme="minorEastAsia"/>
          <w:b/>
          <w:bCs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0"/>
          <w:szCs w:val="20"/>
          <w:lang w:eastAsia="zh-CN"/>
        </w:rPr>
        <w:t>（二）零售（22个标段）</w:t>
      </w:r>
    </w:p>
    <w:tbl>
      <w:tblPr>
        <w:tblStyle w:val="9"/>
        <w:tblW w:w="97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71"/>
        <w:gridCol w:w="746"/>
        <w:gridCol w:w="851"/>
        <w:gridCol w:w="850"/>
        <w:gridCol w:w="851"/>
        <w:gridCol w:w="2126"/>
        <w:gridCol w:w="2126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招商类别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标段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编号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航站楼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位置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面积（㎡）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经营范围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经营主要产品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准入类别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食品、便利类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八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L32AR39B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T2A出发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茶专卖店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茶类预包装+茶饮组合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九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L4E02B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T3A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T3A出发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特产品牌专卖店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体验式特产品牌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十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L3CR17B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C指廊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无人超市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自助售货机：便利品、饮品、方便面（3类均不低于1台）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十一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L32AR46B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T2A出发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国际品牌连锁超市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日用品、食品</w:t>
            </w:r>
          </w:p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（不含特产）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十二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L32BF02A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T2B出发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113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国际品牌连锁超市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日用品、食品</w:t>
            </w:r>
          </w:p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（不含特产）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十三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L2C02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T3A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F指廊二层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国际品牌连锁超市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日用品、食品</w:t>
            </w:r>
          </w:p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（不含特产）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十四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L2D02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T3A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G指廊二层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国际品牌连锁超市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日用品、食品</w:t>
            </w:r>
          </w:p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（不含特产）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十五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L1E02B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T3A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T3A国际到达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国际品牌连锁超市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日用品、食品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特产综合类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十六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L1D01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T3A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G指廊远机位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特产食品综合店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烟酒茶、土特产、便利品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十七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L3E87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T3A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H指廊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219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特产组合店</w:t>
            </w:r>
          </w:p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（</w:t>
            </w:r>
            <w: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个及</w:t>
            </w:r>
            <w: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个以上品牌组合）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体验式特产组合（与国际隔离区现有特产品牌差异化）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百货类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十八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L3CR1401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C指廊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45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礼品专卖店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礼品、文创产品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十九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L3CR1402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C指廊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70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礼品专卖店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日用品、礼品、玩具、文具等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二十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L4E19A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T3A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T3A出发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142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品牌百货店</w:t>
            </w:r>
          </w:p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（1个及1个以上品牌组合）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生活产品、品牌玩具、数码产品等品牌组合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二十一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L3E88A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T3A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H指廊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45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礼品专卖店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礼品、文创产品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二十二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L3E88B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T3A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H指廊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46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数码店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数码、机器人等产品（国产品牌不低于60%）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二十三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L3C12B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T3A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F指廊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76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数码店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数码、机器人等产品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二十四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L3C18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T3A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F指廊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78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礼品专卖店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礼品、文创产品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招商类别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标段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编号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航站楼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位置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面积（㎡）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经营范围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经营主要产品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准入类别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二十五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L3D11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T3A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G指廊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73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数码店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数码、机器人等产品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百货类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二十六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S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4</w:t>
            </w:r>
            <w:bookmarkStart w:id="6" w:name="_GoBack"/>
            <w:bookmarkEnd w:id="6"/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GTC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GTC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475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跨境电商综合店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进口精品、香化、饰品、食品、母婴产品等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二十七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L3AR57B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A指廊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63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国际运动品牌专卖店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服装、箱包、鞋类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二十八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L3E58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T3A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G指廊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136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国际品牌专卖店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服饰、鞋包、饰品等（可对该标段内店铺及面积进行重新划分或组合）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67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L3E60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T3A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G指廊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176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国际品牌专卖店</w:t>
            </w:r>
          </w:p>
        </w:tc>
        <w:tc>
          <w:tcPr>
            <w:tcW w:w="212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6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L3E62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T3A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G指廊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199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国际品牌专卖店</w:t>
            </w:r>
          </w:p>
        </w:tc>
        <w:tc>
          <w:tcPr>
            <w:tcW w:w="2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二十九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L3E69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T3A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G指廊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125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国际香化品牌组合店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仅限于雅诗兰黛、欧莱雅、LVMH、宝洁集团旗下品牌及其他受招商人认可的品牌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B</w:t>
            </w:r>
          </w:p>
        </w:tc>
      </w:tr>
    </w:tbl>
    <w:p>
      <w:pPr>
        <w:spacing w:line="360" w:lineRule="auto"/>
        <w:ind w:firstLine="402" w:firstLineChars="200"/>
        <w:rPr>
          <w:rFonts w:asciiTheme="minorEastAsia" w:hAnsiTheme="minorEastAsia" w:eastAsiaTheme="minorEastAsia"/>
          <w:b/>
          <w:bCs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0"/>
          <w:szCs w:val="20"/>
          <w:lang w:eastAsia="zh-CN"/>
        </w:rPr>
        <w:t>（三）嘉宾餐饮混合（1个标段）</w:t>
      </w:r>
    </w:p>
    <w:tbl>
      <w:tblPr>
        <w:tblStyle w:val="9"/>
        <w:tblW w:w="97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709"/>
        <w:gridCol w:w="936"/>
        <w:gridCol w:w="709"/>
        <w:gridCol w:w="776"/>
        <w:gridCol w:w="851"/>
        <w:gridCol w:w="2268"/>
        <w:gridCol w:w="1984"/>
        <w:gridCol w:w="6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招商类别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标段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编号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航站楼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位置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面积（㎡）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经营范围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经营主要产品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准入类别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嘉宾餐饮混合类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三十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L4E28/29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T3A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T3A出发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369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品牌嘉宾服务+国际品牌餐饮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嘉宾业态：品牌嘉宾；餐饮业态：正餐、简餐、轻餐、咖啡、饮品等国际品牌组合</w:t>
            </w:r>
          </w:p>
        </w:tc>
        <w:tc>
          <w:tcPr>
            <w:tcW w:w="69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L3E89/90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T3A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H指廊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143</w:t>
            </w: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9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6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</w:tr>
    </w:tbl>
    <w:p>
      <w:pPr>
        <w:spacing w:line="360" w:lineRule="auto"/>
        <w:ind w:firstLine="402" w:firstLineChars="200"/>
        <w:rPr>
          <w:rFonts w:ascii="宋体" w:hAnsi="宋体"/>
          <w:b/>
          <w:bCs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0"/>
          <w:szCs w:val="20"/>
          <w:lang w:eastAsia="zh-CN"/>
        </w:rPr>
        <w:t>（四）</w:t>
      </w:r>
      <w:r>
        <w:rPr>
          <w:rFonts w:hint="eastAsia" w:ascii="宋体" w:hAnsi="宋体"/>
          <w:b/>
          <w:bCs/>
          <w:sz w:val="20"/>
          <w:szCs w:val="20"/>
          <w:lang w:eastAsia="zh-CN"/>
        </w:rPr>
        <w:t>休闲（1个标段）</w:t>
      </w:r>
    </w:p>
    <w:tbl>
      <w:tblPr>
        <w:tblStyle w:val="9"/>
        <w:tblW w:w="97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992"/>
        <w:gridCol w:w="709"/>
        <w:gridCol w:w="708"/>
        <w:gridCol w:w="851"/>
        <w:gridCol w:w="2268"/>
        <w:gridCol w:w="1984"/>
        <w:gridCol w:w="7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招商类别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标段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编号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航站楼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位置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面积（㎡）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经营范围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经营主要产品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准入类别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休息舱类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三十一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GX-001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T3A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T3A到达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150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共享休息舱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共享休息舱</w:t>
            </w:r>
          </w:p>
        </w:tc>
        <w:tc>
          <w:tcPr>
            <w:tcW w:w="72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firstLine="0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firstLine="0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GX-004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T3A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T3A到达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150</w:t>
            </w:r>
          </w:p>
        </w:tc>
        <w:tc>
          <w:tcPr>
            <w:tcW w:w="226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firstLine="0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98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firstLine="0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7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firstLine="0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firstLine="0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firstLine="0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GX-007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T3A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F指廊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  <w:t>18</w:t>
            </w: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firstLine="0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9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firstLine="0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7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firstLine="0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 w:bidi="ar-SA"/>
              </w:rPr>
            </w:pPr>
          </w:p>
        </w:tc>
      </w:tr>
    </w:tbl>
    <w:p>
      <w:pPr>
        <w:numPr>
          <w:ilvl w:val="255"/>
          <w:numId w:val="0"/>
        </w:numPr>
        <w:spacing w:line="360" w:lineRule="auto"/>
        <w:rPr>
          <w:rFonts w:cs="宋体" w:asciiTheme="minorEastAsia" w:hAnsiTheme="minorEastAsia" w:eastAsiaTheme="minorEastAsia"/>
          <w:color w:val="000000"/>
          <w:sz w:val="18"/>
          <w:szCs w:val="18"/>
          <w:lang w:eastAsia="zh-CN" w:bidi="ar-SA"/>
        </w:rPr>
      </w:pPr>
    </w:p>
    <w:bookmarkEnd w:id="1"/>
    <w:p>
      <w:pPr>
        <w:ind w:firstLine="402" w:firstLineChars="200"/>
        <w:rPr>
          <w:b/>
          <w:bCs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  <w:t>三、意向承租人的准入条件</w:t>
      </w:r>
    </w:p>
    <w:p>
      <w:pPr>
        <w:numPr>
          <w:ilvl w:val="255"/>
          <w:numId w:val="0"/>
        </w:numPr>
        <w:spacing w:line="360" w:lineRule="auto"/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  <w:t xml:space="preserve"> </w:t>
      </w:r>
      <w:r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  <w:t xml:space="preserve">  </w:t>
      </w:r>
      <w:bookmarkStart w:id="2" w:name="_Hlk24966507"/>
      <w:r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  <w:t>（一）准入类别A类</w:t>
      </w:r>
      <w:r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  <w:t>:</w:t>
      </w:r>
    </w:p>
    <w:p>
      <w:pPr>
        <w:spacing w:line="360" w:lineRule="auto"/>
        <w:ind w:firstLine="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  1.在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中华人民共和国依法注册的企业法人，注册资本金不少于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100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万元。</w:t>
      </w:r>
    </w:p>
    <w:p>
      <w:pPr>
        <w:numPr>
          <w:ilvl w:val="255"/>
          <w:numId w:val="0"/>
        </w:numPr>
        <w:spacing w:line="360" w:lineRule="auto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  2.守法经营，诚实守信，依法纳税。</w:t>
      </w:r>
    </w:p>
    <w:p>
      <w:pPr>
        <w:numPr>
          <w:ilvl w:val="255"/>
          <w:numId w:val="0"/>
        </w:numPr>
        <w:spacing w:line="360" w:lineRule="auto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  3.不接受联合体形式。有关联关系的公司只能选择一家公司参与同一标段的招商，不能联合参与招商，也不得同时参加同一标段的投报。关联关系包括母子公司、受同一母公司控制的子公司之间、合营公司、联营公司等。 </w:t>
      </w:r>
    </w:p>
    <w:p>
      <w:pPr>
        <w:numPr>
          <w:ilvl w:val="255"/>
          <w:numId w:val="0"/>
        </w:numPr>
        <w:spacing w:line="360" w:lineRule="auto"/>
        <w:ind w:firstLine="402" w:firstLineChars="200"/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  <w:t>（二）准入类别</w:t>
      </w:r>
      <w:r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  <w:t>B</w:t>
      </w:r>
      <w:r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  <w:t>类</w:t>
      </w:r>
      <w:r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  <w:t>:</w:t>
      </w:r>
    </w:p>
    <w:p>
      <w:pPr>
        <w:numPr>
          <w:ilvl w:val="255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1.在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中华人民共和国依法注册的企业法人，注册资本金不少于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300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万元。</w:t>
      </w:r>
    </w:p>
    <w:p>
      <w:pPr>
        <w:numPr>
          <w:ilvl w:val="255"/>
          <w:numId w:val="0"/>
        </w:numPr>
        <w:spacing w:line="360" w:lineRule="auto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   2.守法经营，诚实守信，依法纳税。</w:t>
      </w:r>
    </w:p>
    <w:p>
      <w:pPr>
        <w:numPr>
          <w:ilvl w:val="255"/>
          <w:numId w:val="0"/>
        </w:numPr>
        <w:spacing w:line="360" w:lineRule="auto"/>
        <w:ind w:firstLine="4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3.不接受联合体形式。有关联关系的公司只能选择一家公司参与同一标段的招商，不能联合参与招商，也不得同时参加同一标段的投报。关联关系包括母子公司、受同一母公司控制的子公司之间、合营公司、联营公司等。 </w:t>
      </w:r>
    </w:p>
    <w:p>
      <w:pPr>
        <w:numPr>
          <w:ilvl w:val="255"/>
          <w:numId w:val="0"/>
        </w:numPr>
        <w:spacing w:line="360" w:lineRule="auto"/>
        <w:ind w:firstLine="402" w:firstLineChars="200"/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  <w:t>（三）准入类别</w:t>
      </w:r>
      <w:r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  <w:t>C</w:t>
      </w:r>
      <w:r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  <w:t>类</w:t>
      </w:r>
      <w:r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  <w:t>:</w:t>
      </w:r>
    </w:p>
    <w:p>
      <w:pPr>
        <w:numPr>
          <w:ilvl w:val="255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1.在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中华人民共和国依法注册的企业法人，注册资本金不少于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300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万元。</w:t>
      </w:r>
    </w:p>
    <w:p>
      <w:pPr>
        <w:numPr>
          <w:ilvl w:val="255"/>
          <w:numId w:val="0"/>
        </w:numPr>
        <w:spacing w:line="360" w:lineRule="auto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   2.守法经营，诚实守信，依法纳税。</w:t>
      </w:r>
    </w:p>
    <w:p>
      <w:pPr>
        <w:numPr>
          <w:ilvl w:val="255"/>
          <w:numId w:val="0"/>
        </w:numPr>
        <w:spacing w:line="360" w:lineRule="auto"/>
        <w:ind w:firstLine="4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3.不接受联合体形式。有关联关系的公司只能选择一家公司参与同一标段的招商，不能联合参与招商，也不得同时参加同一标段的投报。关联关系包括母子公司、受同一母公司控制的子公司之间、合营公司、联营公司等。 </w:t>
      </w:r>
    </w:p>
    <w:p>
      <w:pPr>
        <w:numPr>
          <w:ilvl w:val="255"/>
          <w:numId w:val="0"/>
        </w:numPr>
        <w:spacing w:line="360" w:lineRule="auto"/>
        <w:ind w:firstLine="4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4.</w:t>
      </w:r>
      <w:r>
        <w:rPr>
          <w:rFonts w:hint="eastAsia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嘉宾业务合作的国外机构数量不低于10个（包括不限于外国航空公司、银行等）。</w:t>
      </w:r>
    </w:p>
    <w:bookmarkEnd w:id="2"/>
    <w:p>
      <w:pPr>
        <w:numPr>
          <w:ilvl w:val="255"/>
          <w:numId w:val="0"/>
        </w:numPr>
        <w:spacing w:line="360" w:lineRule="auto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</w:p>
    <w:p>
      <w:pPr>
        <w:spacing w:line="360" w:lineRule="auto"/>
        <w:ind w:firstLine="402" w:firstLineChars="200"/>
        <w:rPr>
          <w:rFonts w:asciiTheme="minorEastAsia" w:hAnsiTheme="minorEastAsia" w:eastAsiaTheme="minorEastAsia" w:cstheme="minorEastAsia"/>
          <w:b/>
          <w:bCs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lang w:eastAsia="zh-CN"/>
        </w:rPr>
        <w:t>四、招商文件的发售</w:t>
      </w:r>
    </w:p>
    <w:p>
      <w:pPr>
        <w:numPr>
          <w:ilvl w:val="255"/>
          <w:numId w:val="0"/>
        </w:numPr>
        <w:spacing w:line="360" w:lineRule="auto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   </w:t>
      </w:r>
      <w:bookmarkStart w:id="3" w:name="_Hlk24966539"/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符合本次招商准入条件的意向承租人可在2019年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11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月26日至2019年12月2日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（或招商人另行通知的截止时间）的工作日每天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9：00至16：30购买招商文件，每套售价人民币500元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（大写：伍佰元整）。付款方式为银行汇款，仅接受对公账户，不接受现金。一旦付款，概不退还。如需邮寄，请在汇款后联系招商人并提供邮寄地址。招商文件以正式盖章的纸版为准，其余在任何时间以任何途径获取的电子版本均无效。</w:t>
      </w:r>
    </w:p>
    <w:p>
      <w:pPr>
        <w:numPr>
          <w:ilvl w:val="255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收款单位：中新（重庆）机场商业管理有限公司</w:t>
      </w:r>
    </w:p>
    <w:p>
      <w:pPr>
        <w:numPr>
          <w:ilvl w:val="255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开户行：中国建设银行股份有限公司重庆渝北机场支行</w:t>
      </w:r>
    </w:p>
    <w:p>
      <w:pPr>
        <w:numPr>
          <w:ilvl w:val="255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银行账号：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50050108380009680888</w:t>
      </w:r>
    </w:p>
    <w:p>
      <w:pPr>
        <w:numPr>
          <w:ilvl w:val="255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联系人：汪女士</w:t>
      </w:r>
    </w:p>
    <w:p>
      <w:pPr>
        <w:numPr>
          <w:ilvl w:val="255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地址：重庆市渝北区两路翔凤路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9号重庆江北国际机场内（原广告公司006室）</w:t>
      </w:r>
    </w:p>
    <w:p>
      <w:pPr>
        <w:numPr>
          <w:ilvl w:val="255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电话：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(8623) 67153784</w:t>
      </w:r>
    </w:p>
    <w:p>
      <w:pPr>
        <w:numPr>
          <w:ilvl w:val="255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电子邮件：</w:t>
      </w:r>
      <w:r>
        <w:fldChar w:fldCharType="begin"/>
      </w:r>
      <w:r>
        <w:instrText xml:space="preserve"> HYPERLINK "mailto:zsglb@cqa.cn" </w:instrText>
      </w:r>
      <w:r>
        <w:fldChar w:fldCharType="separate"/>
      </w:r>
      <w:r>
        <w:rPr>
          <w:rFonts w:asciiTheme="minorEastAsia" w:hAnsiTheme="minorEastAsia"/>
          <w:lang w:eastAsia="zh-CN"/>
        </w:rPr>
        <w:t>zsglb@cqa.cn</w:t>
      </w:r>
      <w:r>
        <w:rPr>
          <w:rFonts w:asciiTheme="minorEastAsia" w:hAnsiTheme="minorEastAsia"/>
          <w:lang w:eastAsia="zh-CN"/>
        </w:rPr>
        <w:fldChar w:fldCharType="end"/>
      </w:r>
    </w:p>
    <w:p>
      <w:pPr>
        <w:numPr>
          <w:ilvl w:val="255"/>
          <w:numId w:val="0"/>
        </w:numPr>
        <w:spacing w:line="360" w:lineRule="auto"/>
        <w:ind w:firstLine="402" w:firstLineChars="200"/>
        <w:rPr>
          <w:rFonts w:asciiTheme="minorEastAsia" w:hAnsiTheme="minorEastAsia" w:eastAsiaTheme="minorEastAsia" w:cstheme="minorEastAsia"/>
          <w:b/>
          <w:bCs/>
          <w:color w:val="auto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0"/>
          <w:szCs w:val="20"/>
          <w:lang w:eastAsia="zh-CN"/>
        </w:rPr>
        <w:t>注：购买招商文件时，请携带公司营业执照复印件（盖鲜章）、银行汇款回执。</w:t>
      </w:r>
    </w:p>
    <w:bookmarkEnd w:id="3"/>
    <w:p>
      <w:pPr>
        <w:spacing w:line="360" w:lineRule="auto"/>
        <w:ind w:firstLine="0"/>
        <w:rPr>
          <w:rFonts w:ascii="宋体" w:hAnsi="宋体"/>
          <w:b/>
          <w:bCs/>
          <w:color w:val="C00000"/>
          <w:sz w:val="20"/>
          <w:szCs w:val="20"/>
          <w:lang w:eastAsia="zh-CN"/>
        </w:rPr>
      </w:pPr>
    </w:p>
    <w:p>
      <w:pPr>
        <w:spacing w:line="360" w:lineRule="auto"/>
        <w:ind w:firstLine="402" w:firstLineChars="200"/>
        <w:rPr>
          <w:rFonts w:asciiTheme="minorEastAsia" w:hAnsiTheme="minorEastAsia" w:eastAsiaTheme="minorEastAsia" w:cstheme="minorEastAsia"/>
          <w:b/>
          <w:bCs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lang w:eastAsia="zh-CN"/>
        </w:rPr>
        <w:t>五、招商文件的更正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在招商文件发售后、公开招商会议开始前，招商人有权随时对招商文件进行更正。更正通知以正式盖章的扫描件或纸版发出。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</w:p>
    <w:p>
      <w:pPr>
        <w:spacing w:line="360" w:lineRule="auto"/>
        <w:ind w:firstLine="402" w:firstLineChars="200"/>
        <w:rPr>
          <w:rFonts w:asciiTheme="minorEastAsia" w:hAnsiTheme="minorEastAsia" w:eastAsiaTheme="minorEastAsia" w:cstheme="minorEastAsia"/>
          <w:b/>
          <w:bCs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lang w:eastAsia="zh-CN"/>
        </w:rPr>
        <w:t>六、现场勘查与澄清答疑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招商人定于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2019年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12月初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组织现场勘查及澄清答疑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，具体时间以招商人书面通知为准。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现场勘查与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澄清仅此一次，逾期不再组织。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意向承租人的</w:t>
      </w:r>
      <w:bookmarkStart w:id="4" w:name="OLE_LINK18"/>
      <w:bookmarkStart w:id="5" w:name="OLE_LINK19"/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所有澄清问题、参加勘查人数（同一标段同一意向承租人限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3人）、联系人及联系方式</w:t>
      </w:r>
      <w:bookmarkEnd w:id="4"/>
      <w:bookmarkEnd w:id="5"/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情况请于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2019年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12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2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下午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17：00前汇总至：zsglb@cqa.cn。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</w:p>
    <w:p>
      <w:pPr>
        <w:spacing w:line="360" w:lineRule="auto"/>
        <w:ind w:firstLine="402" w:firstLineChars="200"/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  <w:t>七、招商评审时间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20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1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初，具体时间以招商人书面通知为准。</w:t>
      </w:r>
    </w:p>
    <w:p>
      <w:pPr>
        <w:spacing w:line="360" w:lineRule="auto"/>
        <w:ind w:firstLine="400" w:firstLineChars="200"/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意向承租人可同时投一个或多个标段。报名方式及具体事宜详见招商文件。</w:t>
      </w:r>
    </w:p>
    <w:p>
      <w:pPr>
        <w:spacing w:line="360" w:lineRule="auto"/>
        <w:ind w:firstLine="400" w:firstLineChars="200"/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</w:pPr>
    </w:p>
    <w:p>
      <w:pPr>
        <w:numPr>
          <w:ilvl w:val="0"/>
          <w:numId w:val="1"/>
        </w:numPr>
        <w:spacing w:line="360" w:lineRule="auto"/>
        <w:ind w:firstLine="402" w:firstLineChars="200"/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lang w:eastAsia="zh-CN"/>
        </w:rPr>
        <w:t>项目联系人</w:t>
      </w:r>
    </w:p>
    <w:p>
      <w:pPr>
        <w:numPr>
          <w:ilvl w:val="0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杨女士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 xml:space="preserve"> 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(8623) 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67152490、15923009211</w:t>
      </w:r>
    </w:p>
    <w:p>
      <w:pPr>
        <w:spacing w:line="360" w:lineRule="auto"/>
        <w:ind w:firstLine="400" w:firstLineChars="200"/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</w:pP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</w:p>
    <w:p>
      <w:pPr>
        <w:spacing w:line="360" w:lineRule="auto"/>
        <w:ind w:firstLine="5400" w:firstLineChars="2700"/>
        <w:rPr>
          <w:rFonts w:asciiTheme="minorEastAsia" w:hAnsiTheme="minorEastAsia" w:eastAsiaTheme="minorEastAsia" w:cstheme="minorEastAsia"/>
          <w:sz w:val="20"/>
          <w:szCs w:val="20"/>
          <w:lang w:val="en-GB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招商单位：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GB" w:eastAsia="zh-CN"/>
        </w:rPr>
        <w:t>中新（重庆）机场商业管理有限公司</w:t>
      </w:r>
    </w:p>
    <w:p>
      <w:pPr>
        <w:pStyle w:val="3"/>
        <w:ind w:right="1201" w:rightChars="546" w:firstLine="300"/>
        <w:jc w:val="center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 xml:space="preserve">                               </w:t>
      </w:r>
      <w:r>
        <w:rPr>
          <w:rFonts w:asciiTheme="minorEastAsia" w:hAnsiTheme="minorEastAsia" w:cstheme="minorEastAsia"/>
          <w:sz w:val="20"/>
          <w:szCs w:val="20"/>
        </w:rPr>
        <w:t xml:space="preserve">  </w:t>
      </w:r>
      <w:r>
        <w:rPr>
          <w:rFonts w:hint="eastAsia" w:asciiTheme="minorEastAsia" w:hAnsiTheme="minorEastAsia" w:cstheme="minorEastAsia"/>
          <w:sz w:val="20"/>
          <w:szCs w:val="20"/>
        </w:rPr>
        <w:t xml:space="preserve">       </w:t>
      </w:r>
      <w:r>
        <w:rPr>
          <w:rFonts w:asciiTheme="minorEastAsia" w:hAnsiTheme="minorEastAsia" w:cstheme="minorEastAsia"/>
          <w:sz w:val="20"/>
          <w:szCs w:val="20"/>
        </w:rPr>
        <w:t xml:space="preserve">                         2019年</w:t>
      </w:r>
      <w:r>
        <w:rPr>
          <w:rFonts w:hint="eastAsia" w:asciiTheme="minorEastAsia" w:hAnsiTheme="minorEastAsia" w:cstheme="minorEastAsia"/>
          <w:sz w:val="20"/>
          <w:szCs w:val="20"/>
        </w:rPr>
        <w:t>11月1</w:t>
      </w:r>
      <w:r>
        <w:rPr>
          <w:rFonts w:asciiTheme="minorEastAsia" w:hAnsiTheme="minorEastAsia" w:cstheme="minorEastAsia"/>
          <w:sz w:val="20"/>
          <w:szCs w:val="20"/>
        </w:rPr>
        <w:t>9</w:t>
      </w:r>
      <w:r>
        <w:rPr>
          <w:rFonts w:hint="eastAsia" w:asciiTheme="minorEastAsia" w:hAnsiTheme="minorEastAsia" w:cstheme="minorEastAsia"/>
          <w:sz w:val="20"/>
          <w:szCs w:val="20"/>
        </w:rPr>
        <w:t>日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color w:val="5B9BD5" w:themeColor="accent1"/>
        <w14:textFill>
          <w14:solidFill>
            <w14:schemeClr w14:val="accent1"/>
          </w14:solidFill>
        </w14:textFill>
      </w:rPr>
    </w:pPr>
    <w:r>
      <w:rPr>
        <w:color w:val="5B9BD5" w:themeColor="accent1"/>
        <w:lang w:val="zh-CN" w:eastAsia="zh-CN"/>
        <w14:textFill>
          <w14:solidFill>
            <w14:schemeClr w14:val="accent1"/>
          </w14:solidFill>
        </w14:textFill>
      </w:rPr>
      <w:t xml:space="preserve"> </w:t>
    </w:r>
    <w:r>
      <w:rPr>
        <w:color w:val="5B9BD5" w:themeColor="accent1"/>
        <w14:textFill>
          <w14:solidFill>
            <w14:schemeClr w14:val="accent1"/>
          </w14:solidFill>
        </w14:textFill>
      </w:rPr>
      <w:fldChar w:fldCharType="begin"/>
    </w:r>
    <w:r>
      <w:rPr>
        <w:color w:val="5B9BD5" w:themeColor="accent1"/>
        <w14:textFill>
          <w14:solidFill>
            <w14:schemeClr w14:val="accent1"/>
          </w14:solidFill>
        </w14:textFill>
      </w:rPr>
      <w:instrText xml:space="preserve">PAGE  \* Arabic  \* MERGEFORMAT</w:instrText>
    </w:r>
    <w:r>
      <w:rPr>
        <w:color w:val="5B9BD5" w:themeColor="accent1"/>
        <w14:textFill>
          <w14:solidFill>
            <w14:schemeClr w14:val="accent1"/>
          </w14:solidFill>
        </w14:textFill>
      </w:rPr>
      <w:fldChar w:fldCharType="separate"/>
    </w:r>
    <w:r>
      <w:rPr>
        <w:color w:val="5B9BD5" w:themeColor="accent1"/>
        <w:lang w:val="zh-CN" w:eastAsia="zh-CN"/>
        <w14:textFill>
          <w14:solidFill>
            <w14:schemeClr w14:val="accent1"/>
          </w14:solidFill>
        </w14:textFill>
      </w:rPr>
      <w:t>2</w:t>
    </w:r>
    <w:r>
      <w:rPr>
        <w:color w:val="5B9BD5" w:themeColor="accent1"/>
        <w14:textFill>
          <w14:solidFill>
            <w14:schemeClr w14:val="accent1"/>
          </w14:solidFill>
        </w14:textFill>
      </w:rPr>
      <w:fldChar w:fldCharType="end"/>
    </w:r>
    <w:r>
      <w:rPr>
        <w:color w:val="5B9BD5" w:themeColor="accent1"/>
        <w:lang w:val="zh-CN" w:eastAsia="zh-CN"/>
        <w14:textFill>
          <w14:solidFill>
            <w14:schemeClr w14:val="accent1"/>
          </w14:solidFill>
        </w14:textFill>
      </w:rPr>
      <w:t xml:space="preserve"> / </w:t>
    </w:r>
    <w:r>
      <w:rPr>
        <w:color w:val="5B9BD5" w:themeColor="accent1"/>
        <w14:textFill>
          <w14:solidFill>
            <w14:schemeClr w14:val="accent1"/>
          </w14:solidFill>
        </w14:textFill>
      </w:rPr>
      <w:fldChar w:fldCharType="begin"/>
    </w:r>
    <w:r>
      <w:rPr>
        <w:color w:val="5B9BD5" w:themeColor="accent1"/>
        <w14:textFill>
          <w14:solidFill>
            <w14:schemeClr w14:val="accent1"/>
          </w14:solidFill>
        </w14:textFill>
      </w:rPr>
      <w:instrText xml:space="preserve">NUMPAGES  \* Arabic  \* MERGEFORMAT</w:instrText>
    </w:r>
    <w:r>
      <w:rPr>
        <w:color w:val="5B9BD5" w:themeColor="accent1"/>
        <w14:textFill>
          <w14:solidFill>
            <w14:schemeClr w14:val="accent1"/>
          </w14:solidFill>
        </w14:textFill>
      </w:rPr>
      <w:fldChar w:fldCharType="separate"/>
    </w:r>
    <w:r>
      <w:rPr>
        <w:color w:val="5B9BD5" w:themeColor="accent1"/>
        <w:lang w:val="zh-CN" w:eastAsia="zh-CN"/>
        <w14:textFill>
          <w14:solidFill>
            <w14:schemeClr w14:val="accent1"/>
          </w14:solidFill>
        </w14:textFill>
      </w:rPr>
      <w:t>2</w:t>
    </w:r>
    <w:r>
      <w:rPr>
        <w:color w:val="5B9BD5" w:themeColor="accent1"/>
        <w14:textFill>
          <w14:solidFill>
            <w14:schemeClr w14:val="accent1"/>
          </w14:solidFill>
        </w14:textFill>
      </w:rPr>
      <w:fldChar w:fldCharType="end"/>
    </w:r>
  </w:p>
  <w:p>
    <w:pPr>
      <w:pStyle w:val="5"/>
    </w:pP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E74A6C"/>
    <w:multiLevelType w:val="singleLevel"/>
    <w:tmpl w:val="B2E74A6C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A15FB6"/>
    <w:rsid w:val="00054528"/>
    <w:rsid w:val="000863ED"/>
    <w:rsid w:val="0009322A"/>
    <w:rsid w:val="00124051"/>
    <w:rsid w:val="0013395E"/>
    <w:rsid w:val="00141805"/>
    <w:rsid w:val="00150364"/>
    <w:rsid w:val="001B573D"/>
    <w:rsid w:val="001C1349"/>
    <w:rsid w:val="001D65EC"/>
    <w:rsid w:val="002017EF"/>
    <w:rsid w:val="00225336"/>
    <w:rsid w:val="00236E0F"/>
    <w:rsid w:val="00242A41"/>
    <w:rsid w:val="00272C97"/>
    <w:rsid w:val="002760C8"/>
    <w:rsid w:val="002D1D9F"/>
    <w:rsid w:val="00300E13"/>
    <w:rsid w:val="00360597"/>
    <w:rsid w:val="0037183E"/>
    <w:rsid w:val="003A7F89"/>
    <w:rsid w:val="003D6D95"/>
    <w:rsid w:val="0040590A"/>
    <w:rsid w:val="00491BEE"/>
    <w:rsid w:val="004A5146"/>
    <w:rsid w:val="004D114A"/>
    <w:rsid w:val="0053214A"/>
    <w:rsid w:val="00532A66"/>
    <w:rsid w:val="00533DF8"/>
    <w:rsid w:val="005358B4"/>
    <w:rsid w:val="00553EF4"/>
    <w:rsid w:val="0056274D"/>
    <w:rsid w:val="005733BE"/>
    <w:rsid w:val="0058066A"/>
    <w:rsid w:val="00601BB1"/>
    <w:rsid w:val="00606A18"/>
    <w:rsid w:val="0061176A"/>
    <w:rsid w:val="00616656"/>
    <w:rsid w:val="006436CB"/>
    <w:rsid w:val="006901D6"/>
    <w:rsid w:val="006923A7"/>
    <w:rsid w:val="00697529"/>
    <w:rsid w:val="006A0A9F"/>
    <w:rsid w:val="006C573A"/>
    <w:rsid w:val="00705388"/>
    <w:rsid w:val="007131EA"/>
    <w:rsid w:val="00721AE2"/>
    <w:rsid w:val="00781F70"/>
    <w:rsid w:val="00797EE1"/>
    <w:rsid w:val="007B0E68"/>
    <w:rsid w:val="007C57DF"/>
    <w:rsid w:val="00817328"/>
    <w:rsid w:val="00835CE2"/>
    <w:rsid w:val="00855018"/>
    <w:rsid w:val="008A23FE"/>
    <w:rsid w:val="008A66F2"/>
    <w:rsid w:val="008D3C4D"/>
    <w:rsid w:val="009155BA"/>
    <w:rsid w:val="009208AF"/>
    <w:rsid w:val="009741C5"/>
    <w:rsid w:val="00993324"/>
    <w:rsid w:val="0099487A"/>
    <w:rsid w:val="009B0A3A"/>
    <w:rsid w:val="00A04EA7"/>
    <w:rsid w:val="00A53D31"/>
    <w:rsid w:val="00A544BD"/>
    <w:rsid w:val="00A710BF"/>
    <w:rsid w:val="00A81B3A"/>
    <w:rsid w:val="00B16C37"/>
    <w:rsid w:val="00B23354"/>
    <w:rsid w:val="00BC45BE"/>
    <w:rsid w:val="00BD6363"/>
    <w:rsid w:val="00BF0825"/>
    <w:rsid w:val="00C6553E"/>
    <w:rsid w:val="00CB73CD"/>
    <w:rsid w:val="00CD58BF"/>
    <w:rsid w:val="00D22B97"/>
    <w:rsid w:val="00D232AD"/>
    <w:rsid w:val="00D94D06"/>
    <w:rsid w:val="00DB0F67"/>
    <w:rsid w:val="00DF636D"/>
    <w:rsid w:val="00E152AB"/>
    <w:rsid w:val="00E20549"/>
    <w:rsid w:val="00E2113A"/>
    <w:rsid w:val="00E51E62"/>
    <w:rsid w:val="00E631EE"/>
    <w:rsid w:val="00EA2C75"/>
    <w:rsid w:val="00EC0DC8"/>
    <w:rsid w:val="00ED6F15"/>
    <w:rsid w:val="00EE63DB"/>
    <w:rsid w:val="037523D2"/>
    <w:rsid w:val="055127F2"/>
    <w:rsid w:val="06437E3B"/>
    <w:rsid w:val="08345DFA"/>
    <w:rsid w:val="08514416"/>
    <w:rsid w:val="08C02B12"/>
    <w:rsid w:val="09AB3EBD"/>
    <w:rsid w:val="09CF5531"/>
    <w:rsid w:val="0BC827A1"/>
    <w:rsid w:val="0D486AE3"/>
    <w:rsid w:val="0E3266CA"/>
    <w:rsid w:val="10960CF0"/>
    <w:rsid w:val="116D4503"/>
    <w:rsid w:val="12426BF3"/>
    <w:rsid w:val="13F94606"/>
    <w:rsid w:val="17140B80"/>
    <w:rsid w:val="17415ED9"/>
    <w:rsid w:val="18221418"/>
    <w:rsid w:val="186B39BD"/>
    <w:rsid w:val="19E07D39"/>
    <w:rsid w:val="1A4014A7"/>
    <w:rsid w:val="1AF61869"/>
    <w:rsid w:val="1B8322AA"/>
    <w:rsid w:val="1C3F4896"/>
    <w:rsid w:val="1D0F5382"/>
    <w:rsid w:val="1D5C6415"/>
    <w:rsid w:val="1F8D3B0D"/>
    <w:rsid w:val="20992FB1"/>
    <w:rsid w:val="20C06EB0"/>
    <w:rsid w:val="22A835EC"/>
    <w:rsid w:val="26C40611"/>
    <w:rsid w:val="274C378B"/>
    <w:rsid w:val="27830FD3"/>
    <w:rsid w:val="27DD5913"/>
    <w:rsid w:val="284926F5"/>
    <w:rsid w:val="2A0452AC"/>
    <w:rsid w:val="2A7C7511"/>
    <w:rsid w:val="2BEB5198"/>
    <w:rsid w:val="2C312526"/>
    <w:rsid w:val="2C817CEF"/>
    <w:rsid w:val="2CCF478D"/>
    <w:rsid w:val="2D2146E3"/>
    <w:rsid w:val="2F7D64DC"/>
    <w:rsid w:val="31446E29"/>
    <w:rsid w:val="348E22D9"/>
    <w:rsid w:val="39200ABA"/>
    <w:rsid w:val="397C2E01"/>
    <w:rsid w:val="39D217BE"/>
    <w:rsid w:val="3A1D22BE"/>
    <w:rsid w:val="3A560E33"/>
    <w:rsid w:val="3ADB457D"/>
    <w:rsid w:val="3BE27F7D"/>
    <w:rsid w:val="3C864BF4"/>
    <w:rsid w:val="3D2737F3"/>
    <w:rsid w:val="3E5364A6"/>
    <w:rsid w:val="40602AFE"/>
    <w:rsid w:val="41F6698D"/>
    <w:rsid w:val="436D75DF"/>
    <w:rsid w:val="46222F31"/>
    <w:rsid w:val="46EC793B"/>
    <w:rsid w:val="474365CC"/>
    <w:rsid w:val="47B477AF"/>
    <w:rsid w:val="4AB972FC"/>
    <w:rsid w:val="4C9F37D5"/>
    <w:rsid w:val="4D020662"/>
    <w:rsid w:val="4D855066"/>
    <w:rsid w:val="4DA42B0E"/>
    <w:rsid w:val="4E0147AF"/>
    <w:rsid w:val="4E3C1989"/>
    <w:rsid w:val="4EAF1D06"/>
    <w:rsid w:val="4F46631C"/>
    <w:rsid w:val="51B77339"/>
    <w:rsid w:val="520843B8"/>
    <w:rsid w:val="54676EE7"/>
    <w:rsid w:val="55872E29"/>
    <w:rsid w:val="55FB2AE6"/>
    <w:rsid w:val="56CA16BA"/>
    <w:rsid w:val="5BC84DCE"/>
    <w:rsid w:val="60265044"/>
    <w:rsid w:val="60AC5B8B"/>
    <w:rsid w:val="62832A61"/>
    <w:rsid w:val="62A15FB6"/>
    <w:rsid w:val="62B357F3"/>
    <w:rsid w:val="653B2F66"/>
    <w:rsid w:val="670223FE"/>
    <w:rsid w:val="67042ECD"/>
    <w:rsid w:val="67BF744E"/>
    <w:rsid w:val="680F00EC"/>
    <w:rsid w:val="684B011F"/>
    <w:rsid w:val="698C0455"/>
    <w:rsid w:val="69F23A3A"/>
    <w:rsid w:val="6CD152E1"/>
    <w:rsid w:val="6D2F4035"/>
    <w:rsid w:val="6D5630A8"/>
    <w:rsid w:val="6DA0199F"/>
    <w:rsid w:val="6EDC1070"/>
    <w:rsid w:val="6EE11130"/>
    <w:rsid w:val="70B75B12"/>
    <w:rsid w:val="716F152B"/>
    <w:rsid w:val="72250396"/>
    <w:rsid w:val="72E13998"/>
    <w:rsid w:val="7558760B"/>
    <w:rsid w:val="758473D8"/>
    <w:rsid w:val="75A5136D"/>
    <w:rsid w:val="76CE0B54"/>
    <w:rsid w:val="779D10E1"/>
    <w:rsid w:val="7C552455"/>
    <w:rsid w:val="7D550DAF"/>
    <w:rsid w:val="7E9B07C2"/>
    <w:rsid w:val="7E9F6567"/>
    <w:rsid w:val="7EDA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pBdr>
        <w:bottom w:val="single" w:color="365F91" w:sz="12" w:space="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qFormat/>
    <w:uiPriority w:val="0"/>
    <w:pPr>
      <w:widowControl w:val="0"/>
      <w:adjustRightInd w:val="0"/>
      <w:snapToGrid w:val="0"/>
      <w:spacing w:line="360" w:lineRule="auto"/>
      <w:ind w:firstLine="420" w:firstLineChars="150"/>
      <w:jc w:val="both"/>
    </w:pPr>
    <w:rPr>
      <w:rFonts w:ascii="宋体" w:hAnsi="宋体" w:eastAsiaTheme="minorEastAsia" w:cstheme="minorBidi"/>
      <w:kern w:val="2"/>
      <w:szCs w:val="28"/>
      <w:lang w:eastAsia="zh-CN" w:bidi="ar-SA"/>
    </w:r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basedOn w:val="7"/>
    <w:link w:val="6"/>
    <w:qFormat/>
    <w:uiPriority w:val="0"/>
    <w:rPr>
      <w:rFonts w:ascii="Calibri" w:hAnsi="Calibri"/>
      <w:sz w:val="18"/>
      <w:szCs w:val="18"/>
      <w:lang w:eastAsia="en-US" w:bidi="en-US"/>
    </w:rPr>
  </w:style>
  <w:style w:type="character" w:customStyle="1" w:styleId="12">
    <w:name w:val="页脚 字符"/>
    <w:basedOn w:val="7"/>
    <w:link w:val="5"/>
    <w:qFormat/>
    <w:uiPriority w:val="99"/>
    <w:rPr>
      <w:rFonts w:ascii="Calibri" w:hAnsi="Calibri"/>
      <w:sz w:val="18"/>
      <w:szCs w:val="18"/>
      <w:lang w:eastAsia="en-US" w:bidi="en-US"/>
    </w:rPr>
  </w:style>
  <w:style w:type="character" w:customStyle="1" w:styleId="13">
    <w:name w:val="正文文本缩进 字符"/>
    <w:basedOn w:val="7"/>
    <w:link w:val="3"/>
    <w:qFormat/>
    <w:uiPriority w:val="0"/>
    <w:rPr>
      <w:rFonts w:ascii="宋体" w:hAnsi="宋体" w:eastAsiaTheme="minorEastAsia" w:cstheme="minorBidi"/>
      <w:kern w:val="2"/>
      <w:sz w:val="22"/>
      <w:szCs w:val="28"/>
    </w:rPr>
  </w:style>
  <w:style w:type="character" w:customStyle="1" w:styleId="14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7"/>
    <w:link w:val="4"/>
    <w:qFormat/>
    <w:uiPriority w:val="0"/>
    <w:rPr>
      <w:rFonts w:ascii="Calibri" w:hAnsi="Calibri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10E247-29F4-4B11-9B55-98ADC1AB34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631</Words>
  <Characters>3597</Characters>
  <Lines>29</Lines>
  <Paragraphs>8</Paragraphs>
  <TotalTime>2</TotalTime>
  <ScaleCrop>false</ScaleCrop>
  <LinksUpToDate>false</LinksUpToDate>
  <CharactersWithSpaces>4220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2019-11-19T05:49:00Z</dcterms:created>
  <dc:creator>PPking</dc:creator>
  <cp:lastModifiedBy>叶欣01</cp:lastModifiedBy>
  <cp:lastPrinted>2019-11-19T06:07:00Z</cp:lastPrinted>
  <dcterms:modified xsi:type="dcterms:W3CDTF">2019-11-19T09:23:37Z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